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2937"/>
          <w:sz w:val="72"/>
          <w:szCs w:val="72"/>
        </w:rPr>
        <w:t xml:space="preserve">WonderAgent</w:t>
      </w:r>
    </w:p>
    <w:p>
      <w:pPr>
        <w:spacing w:after="100" w:before="200"/>
        <w:jc w:val="center"/>
      </w:pPr>
      <w:r>
        <w:rPr>
          <w:color w:val="4B5563"/>
          <w:sz w:val="44"/>
          <w:szCs w:val="44"/>
        </w:rPr>
        <w:t xml:space="preserve">User Guide</w:t>
      </w:r>
    </w:p>
    <w:p>
      <w:pPr>
        <w:spacing w:before="100"/>
        <w:jc w:val="center"/>
      </w:pPr>
      <w:r>
        <w:rPr>
          <w:i/>
          <w:iCs/>
          <w:color w:val="6B7280"/>
          <w:sz w:val="24"/>
          <w:szCs w:val="24"/>
        </w:rPr>
        <w:t xml:space="preserve">AI Identity Governance &amp; Runtime Assurance</w:t>
      </w:r>
    </w:p>
    <w:p>
      <w:pPr>
        <w:spacing w:before="800"/>
        <w:jc w:val="center"/>
      </w:pPr>
      <w:r>
        <w:rPr>
          <w:color w:val="6B7280"/>
          <w:sz w:val="22"/>
          <w:szCs w:val="22"/>
        </w:rPr>
        <w:t xml:space="preserve">Covers every module: Foundation, AI Agent Identity, Integration Hub, Access Governance, Runtime Assurance, Risk Engine, Certification &amp; Compliance, Platform Administration, and Operations.</w:t>
      </w:r>
    </w:p>
    <w:p>
      <w:pPr>
        <w:spacing w:before="1200"/>
        <w:jc w:val="center"/>
      </w:pPr>
      <w:r>
        <w:rPr>
          <w:color w:val="9CA3AF"/>
          <w:sz w:val="20"/>
          <w:szCs w:val="20"/>
        </w:rPr>
        <w:t xml:space="preserve">2026-09-16</w:t>
      </w:r>
    </w:p>
    <w:p>
      <w:r>
        <w:br w:type="page"/>
      </w:r>
    </w:p>
    <w:p>
      <w:pPr>
        <w:pStyle w:val="Heading2"/>
        <w:spacing w:after="120" w:before="28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Introduction</w:t>
      </w:r>
    </w:p>
    <w:p>
      <w:pPr>
        <w:spacing w:after="140"/>
      </w:pPr>
      <w:r>
        <w:t xml:space="preserve">WonderAgent is an AI Identity Governance &amp; Runtime Assurance platform. It governs AI agents as first-class enterprise identities: their ownership, approved purpose, effective technical access, and observed runtime behavior — and turns any gap between those three into a risk finding an administrator can act on.</w:t>
      </w:r>
    </w:p>
    <w:p>
      <w:pPr>
        <w:pStyle w:val="Heading3"/>
        <w:spacing w:after="100" w:before="200"/>
      </w:pPr>
      <w:r>
        <w:t xml:space="preserve">How the modules relate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E8E8E8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365"/>
            <w:shd w:fill="E8E8E8" w:val="clear"/>
          </w:tcPr>
          <w:p>
            <w:r>
              <w:rPr>
                <w:b/>
                <w:bCs/>
              </w:rPr>
              <w:t xml:space="preserve">Answers</w:t>
            </w:r>
          </w:p>
        </w:tc>
      </w:tr>
      <w:tr>
        <w:tc>
          <w:tcPr>
            <w:tcW w:type="dxa" w:w="2995"/>
          </w:tcPr>
          <w:p>
            <w:r>
              <w:t xml:space="preserve">Foundation</w:t>
            </w:r>
          </w:p>
        </w:tc>
        <w:tc>
          <w:tcPr>
            <w:tcW w:type="dxa" w:w="6365"/>
          </w:tcPr>
          <w:p>
            <w:r>
              <w:t xml:space="preserve">Who can sign in, and what can they do?</w:t>
            </w:r>
          </w:p>
        </w:tc>
      </w:tr>
      <w:tr>
        <w:tc>
          <w:tcPr>
            <w:tcW w:type="dxa" w:w="2995"/>
          </w:tcPr>
          <w:p>
            <w:r>
              <w:t xml:space="preserve">AI Agent Identity</w:t>
            </w:r>
          </w:p>
        </w:tc>
        <w:tc>
          <w:tcPr>
            <w:tcW w:type="dxa" w:w="6365"/>
          </w:tcPr>
          <w:p>
            <w:r>
              <w:t xml:space="preserve">What agents exist, who owns them, what are they approved to do (SHOULD)?</w:t>
            </w:r>
          </w:p>
        </w:tc>
      </w:tr>
      <w:tr>
        <w:tc>
          <w:tcPr>
            <w:tcW w:type="dxa" w:w="2995"/>
          </w:tcPr>
          <w:p>
            <w:r>
              <w:t xml:space="preserve">Integration Hub</w:t>
            </w:r>
          </w:p>
        </w:tc>
        <w:tc>
          <w:tcPr>
            <w:tcW w:type="dxa" w:w="6365"/>
          </w:tcPr>
          <w:p>
            <w:r>
              <w:t xml:space="preserve">Where does agent and access data come from?</w:t>
            </w:r>
          </w:p>
        </w:tc>
      </w:tr>
      <w:tr>
        <w:tc>
          <w:tcPr>
            <w:tcW w:type="dxa" w:w="2995"/>
          </w:tcPr>
          <w:p>
            <w:r>
              <w:t xml:space="preserve">Access Governance</w:t>
            </w:r>
          </w:p>
        </w:tc>
        <w:tc>
          <w:tcPr>
            <w:tcW w:type="dxa" w:w="6365"/>
          </w:tcPr>
          <w:p>
            <w:r>
              <w:t xml:space="preserve">What can each agent technically do (CAN)?</w:t>
            </w:r>
          </w:p>
        </w:tc>
      </w:tr>
      <w:tr>
        <w:tc>
          <w:tcPr>
            <w:tcW w:type="dxa" w:w="2995"/>
          </w:tcPr>
          <w:p>
            <w:r>
              <w:t xml:space="preserve">Runtime Assurance</w:t>
            </w:r>
          </w:p>
        </w:tc>
        <w:tc>
          <w:tcPr>
            <w:tcW w:type="dxa" w:w="6365"/>
          </w:tcPr>
          <w:p>
            <w:r>
              <w:t xml:space="preserve">What did each agent actually do (DID)?</w:t>
            </w:r>
          </w:p>
        </w:tc>
      </w:tr>
      <w:tr>
        <w:tc>
          <w:tcPr>
            <w:tcW w:type="dxa" w:w="2995"/>
          </w:tcPr>
          <w:p>
            <w:r>
              <w:t xml:space="preserve">Risk Engine</w:t>
            </w:r>
          </w:p>
        </w:tc>
        <w:tc>
          <w:tcPr>
            <w:tcW w:type="dxa" w:w="6365"/>
          </w:tcPr>
          <w:p>
            <w:r>
              <w:t xml:space="preserve">Where do SHOULD, CAN and DID disagree, and how risky is that?</w:t>
            </w:r>
          </w:p>
        </w:tc>
      </w:tr>
      <w:tr>
        <w:tc>
          <w:tcPr>
            <w:tcW w:type="dxa" w:w="2995"/>
          </w:tcPr>
          <w:p>
            <w:r>
              <w:t xml:space="preserve">Certification &amp; Compliance</w:t>
            </w:r>
          </w:p>
        </w:tc>
        <w:tc>
          <w:tcPr>
            <w:tcW w:type="dxa" w:w="6365"/>
          </w:tcPr>
          <w:p>
            <w:r>
              <w:t xml:space="preserve">Who reviews and signs off on an agent's access, on a schedule?</w:t>
            </w:r>
          </w:p>
        </w:tc>
      </w:tr>
      <w:tr>
        <w:tc>
          <w:tcPr>
            <w:tcW w:type="dxa" w:w="2995"/>
          </w:tcPr>
          <w:p>
            <w:r>
              <w:t xml:space="preserve">Platform Administration</w:t>
            </w:r>
          </w:p>
        </w:tc>
        <w:tc>
          <w:tcPr>
            <w:tcW w:type="dxa" w:w="6365"/>
          </w:tcPr>
          <w:p>
            <w:r>
              <w:t xml:space="preserve">Vendor-only: manage customer tenants (not part of the customer app)</w:t>
            </w:r>
          </w:p>
        </w:tc>
      </w:tr>
      <w:tr>
        <w:tc>
          <w:tcPr>
            <w:tcW w:type="dxa" w:w="2995"/>
          </w:tcPr>
          <w:p>
            <w:r>
              <w:t xml:space="preserve">Operations</w:t>
            </w:r>
          </w:p>
        </w:tc>
        <w:tc>
          <w:tcPr>
            <w:tcW w:type="dxa" w:w="6365"/>
          </w:tcPr>
          <w:p>
            <w:r>
              <w:t xml:space="preserve">Audit trail, reports, search, notifications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Signing in and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/sign-up</w:t>
      </w:r>
      <w:r>
        <w:t xml:space="preserve"> to create an account (email + password, 8-character minimum), 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/sign-in</w:t>
      </w:r>
      <w:r>
        <w:t xml:space="preserve"> if you already have one. Your organization may also offer </w:t>
      </w:r>
      <w:r>
        <w:rPr>
          <w:b/>
          <w:bCs/>
        </w:rPr>
        <w:t xml:space="preserve">Sign in with SSO</w:t>
      </w:r>
      <w:r>
        <w:t xml:space="preserve"> if your email domain has a SAML/OIDC connection configured (see Foundation).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your first sign-in you land on the onboarding screen: select an existing organization, or create a new one by giving it a name. You become that organization's TENANT_SUPER_ADMIN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land on the Overview dashboard, with left-hand navigation grouped by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Sign-in page (real screenshot below) &amp; Onboarding screen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3"/>
        <w:spacing w:after="100" w:before="200"/>
      </w:pPr>
      <w:r>
        <w:t xml:space="preserve">Sign-in — actual screenshot</w:t>
      </w:r>
    </w:p>
    <w:p>
      <w:pPr>
        <w:jc w:val="left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Desktop — /sign-in</w:t>
      </w:r>
    </w:p>
    <w:p>
      <w:pPr>
        <w:jc w:val="left"/>
      </w:pPr>
      <w:r>
        <w:drawing>
          <wp:inline distT="0" distB="0" distL="0" distR="0">
            <wp:extent cx="1714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66666"/>
          <w:sz w:val="18"/>
          <w:szCs w:val="18"/>
        </w:rPr>
        <w:t xml:space="preserve">Mobile — /sign-in</w:t>
      </w:r>
    </w:p>
    <w:p>
      <w:pPr>
        <w:pStyle w:val="Heading3"/>
        <w:spacing w:after="100" w:before="200"/>
      </w:pPr>
      <w:r>
        <w:t xml:space="preserve">Sign-up — actual screenshot</w:t>
      </w:r>
    </w:p>
    <w:p>
      <w:pPr>
        <w:jc w:val="left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Desktop — /sign-up</w:t>
      </w:r>
    </w:p>
    <w:p>
      <w:pPr>
        <w:jc w:val="left"/>
      </w:pPr>
      <w:r>
        <w:drawing>
          <wp:inline distT="0" distB="0" distL="0" distR="0">
            <wp:extent cx="1714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color w:val="666666"/>
          <w:sz w:val="18"/>
          <w:szCs w:val="18"/>
        </w:rPr>
        <w:t xml:space="preserve">Mobile — /sign-up</w:t>
      </w: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Note: these two pages are intentionally minimal, unstyled forms in the current build — that's accurate to the real product today, not a rendering issue with this guide.</w:t>
      </w:r>
    </w:p>
    <w:p>
      <w:pPr>
        <w:spacing w:after="200"/>
      </w:pPr>
    </w:p>
    <w:p>
      <w:pPr>
        <w:spacing w:after="140"/>
      </w:pPr>
      <w:r>
        <w:rPr>
          <w:b/>
          <w:bCs/>
        </w:rPr>
        <w:t xml:space="preserve">Every screen after sign-in requires reaching your live Supabase project, so this guide could not capture real screenshots of them in the sandbox this guide was written in — see the Appendix for exactly how to generate the rest yourself in a couple of minutes.</w:t>
      </w:r>
    </w:p>
    <w:p>
      <w:pPr>
        <w:pStyle w:val="Heading1"/>
        <w:pageBreakBefore/>
      </w:pPr>
      <w:r>
        <w:t xml:space="preserve">Foundation</w:t>
      </w:r>
    </w:p>
    <w:p>
      <w:pPr>
        <w:spacing w:after="140"/>
      </w:pPr>
      <w:r>
        <w:t xml:space="preserve">Foundation owns your organization (tenant), users, roles/permissions, and sign-in security. All of its settings live under Settings in the left nav.</w:t>
      </w:r>
    </w:p>
    <w:p>
      <w:pPr>
        <w:pStyle w:val="Heading2"/>
        <w:spacing w:after="120" w:before="280"/>
      </w:pPr>
      <w:r>
        <w:t xml:space="preserve">Users &amp; Roles — /settings/roles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role.manage</w:t>
      </w:r>
    </w:p>
    <w:p>
      <w:pPr>
        <w:spacing w:after="140"/>
      </w:pPr>
      <w:r>
        <w:t xml:space="preserve">Every member is listed with their current roles. To grant a role, pick it from the dropdown next to a user and submit; to remove one, use the remove button next to that role badge. A user can hold more than one role — their effective permissions are the union of all of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Users &amp; Roles page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3"/>
        <w:spacing w:after="100" w:before="200"/>
      </w:pPr>
      <w:r>
        <w:t xml:space="preserve">Built-in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E8E8E8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616"/>
            <w:shd w:fill="E8E8E8" w:val="clear"/>
          </w:tcPr>
          <w:p>
            <w:r>
              <w:rPr>
                <w:b/>
                <w:bCs/>
              </w:rPr>
              <w:t xml:space="preserve">Typical use</w:t>
            </w:r>
          </w:p>
        </w:tc>
      </w:tr>
      <w:tr>
        <w:tc>
          <w:tcPr>
            <w:tcW w:type="dxa" w:w="3744"/>
          </w:tcPr>
          <w:p>
            <w:r>
              <w:t xml:space="preserve">TENANT_SUPER_ADMIN</w:t>
            </w:r>
          </w:p>
        </w:tc>
        <w:tc>
          <w:tcPr>
            <w:tcW w:type="dxa" w:w="5616"/>
          </w:tcPr>
          <w:p>
            <w:r>
              <w:t xml:space="preserve">Full access to everything. Automatically granted to whoever creates the organization.</w:t>
            </w:r>
          </w:p>
        </w:tc>
      </w:tr>
      <w:tr>
        <w:tc>
          <w:tcPr>
            <w:tcW w:type="dxa" w:w="3744"/>
          </w:tcPr>
          <w:p>
            <w:r>
              <w:t xml:space="preserve">IAM_ADMIN</w:t>
            </w:r>
          </w:p>
        </w:tc>
        <w:tc>
          <w:tcPr>
            <w:tcW w:type="dxa" w:w="5616"/>
          </w:tcPr>
          <w:p>
            <w:r>
              <w:t xml:space="preserve">Runs day-to-day identity/access/integration operations and remediation.</w:t>
            </w:r>
          </w:p>
        </w:tc>
      </w:tr>
      <w:tr>
        <w:tc>
          <w:tcPr>
            <w:tcW w:type="dxa" w:w="3744"/>
          </w:tcPr>
          <w:p>
            <w:r>
              <w:t xml:space="preserve">IAM_ARCHITECT</w:t>
            </w:r>
          </w:p>
        </w:tc>
        <w:tc>
          <w:tcPr>
            <w:tcW w:type="dxa" w:w="5616"/>
          </w:tcPr>
          <w:p>
            <w:r>
              <w:t xml:space="preserve">Configures integrations, policies and technical mappings.</w:t>
            </w:r>
          </w:p>
        </w:tc>
      </w:tr>
      <w:tr>
        <w:tc>
          <w:tcPr>
            <w:tcW w:type="dxa" w:w="3744"/>
          </w:tcPr>
          <w:p>
            <w:r>
              <w:t xml:space="preserve">SECURITY_ADMIN</w:t>
            </w:r>
          </w:p>
        </w:tc>
        <w:tc>
          <w:tcPr>
            <w:tcW w:type="dxa" w:w="5616"/>
          </w:tcPr>
          <w:p>
            <w:r>
              <w:t xml:space="preserve">Owns policies, risk findings and reporting.</w:t>
            </w:r>
          </w:p>
        </w:tc>
      </w:tr>
      <w:tr>
        <w:tc>
          <w:tcPr>
            <w:tcW w:type="dxa" w:w="3744"/>
          </w:tcPr>
          <w:p>
            <w:r>
              <w:t xml:space="preserve">CERTIFICATION_MANAGER</w:t>
            </w:r>
          </w:p>
        </w:tc>
        <w:tc>
          <w:tcPr>
            <w:tcW w:type="dxa" w:w="5616"/>
          </w:tcPr>
          <w:p>
            <w:r>
              <w:t xml:space="preserve">Runs certification campaigns.</w:t>
            </w:r>
          </w:p>
        </w:tc>
      </w:tr>
      <w:tr>
        <w:tc>
          <w:tcPr>
            <w:tcW w:type="dxa" w:w="3744"/>
          </w:tcPr>
          <w:p>
            <w:r>
              <w:t xml:space="preserve">BUSINESS_OWNER / TECHNICAL_OWNER / APPLICATION_OWNER</w:t>
            </w:r>
          </w:p>
        </w:tc>
        <w:tc>
          <w:tcPr>
            <w:tcW w:type="dxa" w:w="5616"/>
          </w:tcPr>
          <w:p>
            <w:r>
              <w:t xml:space="preserve">Agent owners: read agents, update them, see findings/reports.</w:t>
            </w:r>
          </w:p>
        </w:tc>
      </w:tr>
      <w:tr>
        <w:tc>
          <w:tcPr>
            <w:tcW w:type="dxa" w:w="3744"/>
          </w:tcPr>
          <w:p>
            <w:r>
              <w:t xml:space="preserve">AUDITOR</w:t>
            </w:r>
          </w:p>
        </w:tc>
        <w:tc>
          <w:tcPr>
            <w:tcW w:type="dxa" w:w="5616"/>
          </w:tcPr>
          <w:p>
            <w:r>
              <w:t xml:space="preserve">Read-only everywhere, plus report export.</w:t>
            </w:r>
          </w:p>
        </w:tc>
      </w:tr>
      <w:tr>
        <w:tc>
          <w:tcPr>
            <w:tcW w:type="dxa" w:w="3744"/>
          </w:tcPr>
          <w:p>
            <w:r>
              <w:t xml:space="preserve">REQUESTER</w:t>
            </w:r>
          </w:p>
        </w:tc>
        <w:tc>
          <w:tcPr>
            <w:tcW w:type="dxa" w:w="5616"/>
          </w:tcPr>
          <w:p>
            <w:r>
              <w:t xml:space="preserve">Can view agents and integrations and submit requests — the most restricted named role.</w:t>
            </w:r>
          </w:p>
        </w:tc>
      </w:tr>
      <w:tr>
        <w:tc>
          <w:tcPr>
            <w:tcW w:type="dxa" w:w="3744"/>
          </w:tcPr>
          <w:p>
            <w:r>
              <w:t xml:space="preserve">READ_ONLY</w:t>
            </w:r>
          </w:p>
        </w:tc>
        <w:tc>
          <w:tcPr>
            <w:tcW w:type="dxa" w:w="5616"/>
          </w:tcPr>
          <w:p>
            <w:r>
              <w:t xml:space="preserve">Read-only everywhere.</w:t>
            </w:r>
          </w:p>
        </w:tc>
      </w:tr>
    </w:tbl>
    <w:p>
      <w:pPr>
        <w:spacing w:after="140"/>
      </w:pPr>
      <w:r>
        <w:rPr>
          <w:sz w:val="20"/>
          <w:szCs w:val="20"/>
        </w:rPr>
        <w:t xml:space="preserve">See the Appendix for the full permission-by-role matrix.</w:t>
      </w:r>
    </w:p>
    <w:p>
      <w:pPr>
        <w:pStyle w:val="Heading2"/>
        <w:spacing w:after="120" w:before="280"/>
      </w:pPr>
      <w:r>
        <w:t xml:space="preserve">Single Sign-On — /settings/sso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sso.manage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a connection</w:t>
      </w:r>
      <w:r>
        <w:t xml:space="preserve"> and fill in Email domain (e.g. example.com), Protocol (SAML 2.0 or OIDC), Entity ID / Issuer, and for SAML, SSO URL and Certificate from your identity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Default role for new SSO users — the role auto-granted the first time someone from this domain signs in via SSO. Defaults to READ_ONLY.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Submit, then use Enable/Disable in the connections table to control whether the domain is currently routed to 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Single Sign-On settings page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Configuring a connection here does not by itself complete the SAML/OIDC handshake — your Supabase project must also have a matching SSO provider registered (an Enterprise/Pro-tier, project-level step done outside WonderAgent).</w:t>
      </w:r>
    </w:p>
    <w:p>
      <w:pPr>
        <w:pStyle w:val="Heading2"/>
        <w:spacing w:after="120" w:before="280"/>
      </w:pPr>
      <w:r>
        <w:t xml:space="preserve">Multi-Factor Authentication — /settings/security</w:t>
      </w:r>
    </w:p>
    <w:p>
      <w:pPr>
        <w:spacing w:after="140"/>
      </w:pPr>
      <w:r>
        <w:t xml:space="preserve">This is a personal setting, not an admin one — every user manages their own factors.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Enroll a new authenticator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the QR code with an authenticator app (Google Authenticator, 1Password,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6-digit code it shows to confirm enrollment.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a factor at any time from the same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MFA enrollment page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Organization settings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an organization from /onboarding — this also makes you its TENANT_SUPER_ADMIN.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Switch between organizations you belong to using the workspace switcher in the top bar.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Sessions have both an idle and an absolute expiry enforced automatically; you'll be redirected to sign in again with an explanatory message when either is hit.</w:t>
      </w:r>
    </w:p>
    <w:p>
      <w:pPr>
        <w:pStyle w:val="Heading1"/>
        <w:pageBreakBefore/>
      </w:pPr>
      <w:r>
        <w:t xml:space="preserve">AI Agent Identity</w:t>
      </w:r>
    </w:p>
    <w:p>
      <w:pPr>
        <w:spacing w:after="140"/>
      </w:pPr>
      <w:r>
        <w:t xml:space="preserve">This module is the canonical registry of every AI agent, its ownership, its lifecycle state, and its contract — the approved purpose that SHOULD is measured against everywhere else in WonderAgent.</w:t>
      </w:r>
    </w:p>
    <w:p>
      <w:pPr>
        <w:pStyle w:val="Heading2"/>
        <w:spacing w:after="120" w:before="280"/>
      </w:pPr>
      <w:r>
        <w:t xml:space="preserve">Registering an agent — /agents/new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agent.create</w:t>
      </w:r>
    </w:p>
    <w:p>
      <w:pPr>
        <w:spacing w:after="140"/>
      </w:pPr>
      <w:r>
        <w:t xml:space="preserve">Fill in Agent name and Agent type (required — e.g. chatbot, automation, copilot, pipeline), plus optional Purpose, Framework, Model provider/name, Runtime, Environment (production/staging/development), Criticality (low/medium/high/critical), and Data classification. Submitting registers the agent and opens its detail page.</w:t>
      </w:r>
    </w:p>
    <w:p>
      <w:pPr>
        <w:spacing w:after="140"/>
      </w:pPr>
      <w:r>
        <w:t xml:space="preserve">If the name/attributes look like an existing agent, WonderAgent may instead route you to the duplicate review queue rather than completing registration.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Agents list page (/agents)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Register an AI Agent form (/agents/new)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Agent detail — /agents/{id}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Lifecycle: </w:t>
      </w:r>
      <w:r>
        <w:t xml:space="preserve">transition an agent through DISCOVERED → REGISTERED → ASSESSED → APPROVED → PROVISIONED → ACTIVE → CERTIFICATION_DUE → RESTRICTED → SUSPENDED → RETIRED, each with a required reason. A CRITICAL risk finding can auto-transition an agent to RESTRICTED.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Owners: </w:t>
      </w:r>
      <w:r>
        <w:t xml:space="preserve">assign at least one owner (business, technical, IAM, application, data, or escalation owner) — an unowned agent is flagged as a governance gap.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 Contract (SHOULD): </w:t>
      </w:r>
      <w:r>
        <w:t xml:space="preserve">publish a new contract version specifying approved purpose, approved/prohibited applications, approved/prohibited data, approved/prohibited actions, autonomy level (0–4), allowed tools, and required monitoring/compliance controls. This is the SHOULD that Runtime Assurance and Risk compare everything else against.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Relationships: </w:t>
      </w:r>
      <w:r>
        <w:t xml:space="preserve">record how this agent relates to others (delegates_to, depends_on, shares_credential_with, orchestrates).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Linked identities: </w:t>
      </w:r>
      <w:r>
        <w:t xml:space="preserve">attach the technical identities behind this agent (service account, OAuth client, API key, MCP server, workload identity, human delegate).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Agent detail page (/agents/{id})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spacing w:after="140"/>
      </w:pPr>
      <w:r>
        <w:t xml:space="preserve">From here, the Agent sections sub-nav takes you to this same agent's Access (CAN), Runtime (DID) and Risk &amp; Findings pages — each owned by a different module, covered in its own section below.</w:t>
      </w:r>
    </w:p>
    <w:p>
      <w:pPr>
        <w:pStyle w:val="Heading2"/>
        <w:spacing w:after="120" w:before="280"/>
      </w:pPr>
      <w:r>
        <w:t xml:space="preserve">Discovery inbox — /agents/discovery</w:t>
      </w:r>
    </w:p>
    <w:p>
      <w:pPr>
        <w:spacing w:after="140"/>
      </w:pPr>
      <w:r>
        <w:t xml:space="preserve">Agents and accounts surfaced by a connected integration land here before they're formally registered. Tabs: All / New / Needs Review / Potential Duplicates / Recently Changed / Ignored. Review a candidate and either register it or ignore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Discovery inbox page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Duplicate review — /agents/duplicates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agent.create</w:t>
      </w:r>
    </w:p>
    <w:p>
      <w:pPr>
        <w:spacing w:after="140"/>
      </w:pPr>
      <w:r>
        <w:t xml:space="preserve">When a new registration or discovery candidate closely matches an existing agent, it's queued here with a match score and the field(s) it matched on. Either merge the duplicate into the existing agent or confirm it's genuinely a distinct agent.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Duplicate registration review page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1"/>
        <w:pageBreakBefore/>
      </w:pPr>
      <w:r>
        <w:t xml:space="preserve">Integration Hub</w:t>
      </w:r>
    </w:p>
    <w:p>
      <w:pPr>
        <w:spacing w:after="140"/>
      </w:pPr>
      <w:r>
        <w:t xml:space="preserve">Integrations are how identity, access and activity data gets into WonderAgent from your other systems. All read-only unless a connector explicitly declares write capability — WonderAgent never silently provisions or deprovisions access.</w:t>
      </w:r>
    </w:p>
    <w:p>
      <w:pPr>
        <w:pStyle w:val="Heading2"/>
        <w:spacing w:after="120" w:before="280"/>
      </w:pPr>
      <w:r>
        <w:t xml:space="preserve">Connector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5148"/>
      </w:tblGrid>
      <w:tr>
        <w:trPr>
          <w:tblHeader/>
        </w:trPr>
        <w:tc>
          <w:tcPr>
            <w:tcW w:type="dxa" w:w="1872"/>
            <w:shd w:fill="E8E8E8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shd w:fill="E8E8E8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5148"/>
            <w:shd w:fill="E8E8E8" w:val="clear"/>
          </w:tcPr>
          <w:p>
            <w:r>
              <w:rPr>
                <w:b/>
                <w:bCs/>
              </w:rPr>
              <w:t xml:space="preserve">Imports</w:t>
            </w:r>
          </w:p>
        </w:tc>
      </w:tr>
      <w:tr>
        <w:tc>
          <w:tcPr>
            <w:tcW w:type="dxa" w:w="1872"/>
          </w:tcPr>
          <w:p>
            <w:r>
              <w:t xml:space="preserve">Saviynt</w:t>
            </w:r>
          </w:p>
        </w:tc>
        <w:tc>
          <w:tcPr>
            <w:tcW w:type="dxa" w:w="2340"/>
          </w:tcPr>
          <w:p>
            <w:r>
              <w:t xml:space="preserve">IAM/IGA</w:t>
            </w:r>
          </w:p>
        </w:tc>
        <w:tc>
          <w:tcPr>
            <w:tcW w:type="dxa" w:w="5148"/>
          </w:tcPr>
          <w:p>
            <w:r>
              <w:t xml:space="preserve">Identities, accounts, applications, entitlements, access, policies</w:t>
            </w:r>
          </w:p>
        </w:tc>
      </w:tr>
      <w:tr>
        <w:tc>
          <w:tcPr>
            <w:tcW w:type="dxa" w:w="1872"/>
          </w:tcPr>
          <w:p>
            <w:r>
              <w:t xml:space="preserve">Generic REST</w:t>
            </w:r>
          </w:p>
        </w:tc>
        <w:tc>
          <w:tcPr>
            <w:tcW w:type="dxa" w:w="2340"/>
          </w:tcPr>
          <w:p>
            <w:r>
              <w:t xml:space="preserve">Custom API</w:t>
            </w:r>
          </w:p>
        </w:tc>
        <w:tc>
          <w:tcPr>
            <w:tcW w:type="dxa" w:w="5148"/>
          </w:tcPr>
          <w:p>
            <w:r>
              <w:t xml:space="preserve">Identities, accounts, applications, entitlements, access</w:t>
            </w:r>
          </w:p>
        </w:tc>
      </w:tr>
      <w:tr>
        <w:tc>
          <w:tcPr>
            <w:tcW w:type="dxa" w:w="1872"/>
          </w:tcPr>
          <w:p>
            <w:r>
              <w:t xml:space="preserve">MCP Server</w:t>
            </w:r>
          </w:p>
        </w:tc>
        <w:tc>
          <w:tcPr>
            <w:tcW w:type="dxa" w:w="2340"/>
          </w:tcPr>
          <w:p>
            <w:r>
              <w:t xml:space="preserve">MCP runtime</w:t>
            </w:r>
          </w:p>
        </w:tc>
        <w:tc>
          <w:tcPr>
            <w:tcW w:type="dxa" w:w="5148"/>
          </w:tcPr>
          <w:p>
            <w:r>
              <w:t xml:space="preserve">Runtime activity only</w:t>
            </w:r>
          </w:p>
        </w:tc>
      </w:tr>
      <w:tr>
        <w:tc>
          <w:tcPr>
            <w:tcW w:type="dxa" w:w="1872"/>
          </w:tcPr>
          <w:p>
            <w:r>
              <w:t xml:space="preserve">Webhook</w:t>
            </w:r>
          </w:p>
        </w:tc>
        <w:tc>
          <w:tcPr>
            <w:tcW w:type="dxa" w:w="2340"/>
          </w:tcPr>
          <w:p>
            <w:r>
              <w:t xml:space="preserve">Custom API</w:t>
            </w:r>
          </w:p>
        </w:tc>
        <w:tc>
          <w:tcPr>
            <w:tcW w:type="dxa" w:w="5148"/>
          </w:tcPr>
          <w:p>
            <w:r>
              <w:t xml:space="preserve">Runtime activity only, pushed to WonderAgent rather than pulled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Adding a connection — /integrations/new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integration.create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a Type from the catalog above, give it a Name, and optionally a Base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— you land on the new integration's detail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Integrations list page (/integrations)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Add an integration form (/integrations/new)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Configuring a connection — /integrations/{id}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integration.update / integration.execute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Credential: </w:t>
      </w:r>
      <w:r>
        <w:t xml:space="preserve">choose an Auth type (oauth2, api_key, basic, bearer, mtls) and enter the Secret / token. Stored encrypted; never exposed to the browser or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connection: </w:t>
      </w:r>
      <w:r>
        <w:t xml:space="preserve">verifies the saved credential can reach the configured base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Sync jobs: </w:t>
      </w:r>
      <w:r>
        <w:t xml:space="preserve">click Run sync now to pull data on demand (also check /integrations/jobs for status across the tenant — queued/running/succeeded/failed/partial).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Field mappings: </w:t>
      </w:r>
      <w:r>
        <w:t xml:space="preserve">map a source system's field (dot path, e.g. user.email) to WonderAgent's target field, per object type — needed when your source system's schema doesn't match WonderAgent's out of the 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Integration detail page (/integrations/{id})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Job Status page (/integrations/jobs)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MCP and webhook ingestion (no polling 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MCP Server: </w:t>
      </w:r>
      <w:r>
        <w:t xml:space="preserve">runtime events are pushed to POST /api/v1/integrations/mcp/{integrationId}/events.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Webhook: </w:t>
      </w:r>
      <w:r>
        <w:t xml:space="preserve">configure your source system to POST to /api/v1/integrations/webhooks/{integrationId}, signed with an HMAC-SHA256 signature using the integration's stored shared secret. Requests with a missing or invalid signature are rejected.</w:t>
      </w: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Records imported by any connector are always written with the tenant of the integration that pulled them — never inferred from the source system's own data, so cross-tenant leakage is not possible even with a misconfigured source.</w:t>
      </w:r>
    </w:p>
    <w:p>
      <w:pPr>
        <w:pStyle w:val="Heading1"/>
        <w:pageBreakBefore/>
      </w:pPr>
      <w:r>
        <w:t xml:space="preserve">Access Governance</w:t>
      </w:r>
    </w:p>
    <w:p>
      <w:pPr>
        <w:spacing w:after="140"/>
      </w:pPr>
      <w:r>
        <w:t xml:space="preserve">This module computes each agent's CAN — what it can technically do, derived from imported or manually-entered access — and evaluates deterministic policies against it. No LLM is ever used for authorization or policy decisions.</w:t>
      </w:r>
    </w:p>
    <w:p>
      <w:pPr>
        <w:pStyle w:val="Heading2"/>
        <w:spacing w:after="120" w:before="280"/>
      </w:pPr>
      <w:r>
        <w:t xml:space="preserve">Applications — /access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access.read (adding one requires access.manage)</w:t>
      </w:r>
    </w:p>
    <w:p>
      <w:pPr>
        <w:spacing w:after="140"/>
      </w:pPr>
      <w:r>
        <w:t xml:space="preserve">Lists every application WonderAgent knows about. Add one with an Application name, optional Category, and an External-facing checkbox (email, messaging, public API) — this flag feeds Risk's "external communication capability" factor, so mark it accurately.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Applications page (/access)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Effective Access (CAN) — /access/agents/{agentId}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Access Graph: </w:t>
      </w:r>
      <w:r>
        <w:t xml:space="preserve">a visual path from the agent through its accounts to applications/entitlements, exactly as effective access is derived.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Effective Access table: </w:t>
      </w:r>
      <w:r>
        <w:t xml:space="preserve">every currently-granted entitlement, with grant type, data classification, and evidence for how it was derived. Grants normally arrive via an integration sync; you can also add one manually or Revoke one directly.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evaluation now: </w:t>
      </w:r>
      <w:r>
        <w:t xml:space="preserve">runs this agent's access against every active policy and records the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Agent Access (CAN) page (/access/agents/{agentId})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Access Requests — /access/requests</w:t>
      </w:r>
    </w:p>
    <w:p>
      <w:pPr>
        <w:spacing w:after="140"/>
      </w:pPr>
      <w:r>
        <w:t xml:space="preserve">Tracks pending, approved, rejected and fulfilled requests for new or modified access (access.request to submit, access.approve to decide). A certification reviewer's "modify" decision (see Certification &amp; Compliance) also creates a request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Access Requests page (/access/requests)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Policies — /policies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policy.read (creating requires policy.create)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policy: Name, Category (identity/access/runtime/agent/lifecycle), and Action (flag/restrict/block).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a policy's detail page, add rules (rbac/abac/resource/time — structured field/operator/value conditions, never free-text logic) and, when a documented exception is needed, an exception with reason, business justification, approver, compensating control and expiry.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Policies have versions — every edit is snapshotted so a past evaluation can be reproduced against the exact rule set that produced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Policies page (/policies)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1"/>
        <w:pageBreakBefore/>
      </w:pPr>
      <w:r>
        <w:t xml:space="preserve">Runtime Assurance</w:t>
      </w:r>
    </w:p>
    <w:p>
      <w:pPr>
        <w:spacing w:after="140"/>
      </w:pPr>
      <w:r>
        <w:t xml:space="preserve">This module records what an agent actually did (DID) and compares it against SHOULD (its contract) and CAN (its effective access) — the comparison at the heart of WonderAgent's model.</w:t>
      </w:r>
    </w:p>
    <w:p>
      <w:pPr>
        <w:pStyle w:val="Heading2"/>
        <w:spacing w:after="120" w:before="280"/>
      </w:pPr>
      <w:r>
        <w:t xml:space="preserve">Activity — /runtime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runtime.read</w:t>
      </w:r>
    </w:p>
    <w:p>
      <w:pPr>
        <w:spacing w:after="140"/>
      </w:pPr>
      <w:r>
        <w:t xml:space="preserve">Lists every agent with a link into its own runtime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Runtime Assurance list page (/runtime)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An agent's Runtime (DID) page — /runtime/agents/{agentId}</w:t>
      </w:r>
    </w:p>
    <w:p>
      <w:pPr>
        <w:pStyle w:val="Heading3"/>
        <w:spacing w:after="100" w:before="200"/>
      </w:pPr>
      <w:r>
        <w:t xml:space="preserve">SHOULD vs CAN vs DID outcome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E8E8E8" w:val="clear"/>
          </w:tcPr>
          <w:p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6552"/>
            <w:shd w:fill="E8E8E8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808"/>
          </w:tcPr>
          <w:p>
            <w:r>
              <w:t xml:space="preserve">healthy</w:t>
            </w:r>
          </w:p>
        </w:tc>
        <w:tc>
          <w:tcPr>
            <w:tcW w:type="dxa" w:w="6552"/>
          </w:tcPr>
          <w:p>
            <w:r>
              <w:t xml:space="preserve">Everything lines up</w:t>
            </w:r>
          </w:p>
        </w:tc>
      </w:tr>
      <w:tr>
        <w:tc>
          <w:tcPr>
            <w:tcW w:type="dxa" w:w="2808"/>
          </w:tcPr>
          <w:p>
            <w:r>
              <w:t xml:space="preserve">excessive_access</w:t>
            </w:r>
          </w:p>
        </w:tc>
        <w:tc>
          <w:tcPr>
            <w:tcW w:type="dxa" w:w="6552"/>
          </w:tcPr>
          <w:p>
            <w:r>
              <w:t xml:space="preserve">CAN includes something SHOULD doesn't approve</w:t>
            </w:r>
          </w:p>
        </w:tc>
      </w:tr>
      <w:tr>
        <w:tc>
          <w:tcPr>
            <w:tcW w:type="dxa" w:w="2808"/>
          </w:tcPr>
          <w:p>
            <w:r>
              <w:t xml:space="preserve">insufficient_access</w:t>
            </w:r>
          </w:p>
        </w:tc>
        <w:tc>
          <w:tcPr>
            <w:tcW w:type="dxa" w:w="6552"/>
          </w:tcPr>
          <w:p>
            <w:r>
              <w:t xml:space="preserve">SHOULD approves something CAN doesn't grant</w:t>
            </w:r>
          </w:p>
        </w:tc>
      </w:tr>
      <w:tr>
        <w:tc>
          <w:tcPr>
            <w:tcW w:type="dxa" w:w="2808"/>
          </w:tcPr>
          <w:p>
            <w:r>
              <w:t xml:space="preserve">unused_capability</w:t>
            </w:r>
          </w:p>
        </w:tc>
        <w:tc>
          <w:tcPr>
            <w:tcW w:type="dxa" w:w="6552"/>
          </w:tcPr>
          <w:p>
            <w:r>
              <w:t xml:space="preserve">CAN includes something never exercised in DID</w:t>
            </w:r>
          </w:p>
        </w:tc>
      </w:tr>
      <w:tr>
        <w:tc>
          <w:tcPr>
            <w:tcW w:type="dxa" w:w="2808"/>
          </w:tcPr>
          <w:p>
            <w:r>
              <w:t xml:space="preserve">unexpected_capability</w:t>
            </w:r>
          </w:p>
        </w:tc>
        <w:tc>
          <w:tcPr>
            <w:tcW w:type="dxa" w:w="6552"/>
          </w:tcPr>
          <w:p>
            <w:r>
              <w:t xml:space="preserve">DID touched something not covered by CAN</w:t>
            </w:r>
          </w:p>
        </w:tc>
      </w:tr>
      <w:tr>
        <w:tc>
          <w:tcPr>
            <w:tcW w:type="dxa" w:w="2808"/>
          </w:tcPr>
          <w:p>
            <w:r>
              <w:t xml:space="preserve">behavioral_violation</w:t>
            </w:r>
          </w:p>
        </w:tc>
        <w:tc>
          <w:tcPr>
            <w:tcW w:type="dxa" w:w="6552"/>
          </w:tcPr>
          <w:p>
            <w:r>
              <w:t xml:space="preserve">DID touched something not covered by SHOULD</w:t>
            </w:r>
          </w:p>
        </w:tc>
      </w:tr>
      <w:tr>
        <w:tc>
          <w:tcPr>
            <w:tcW w:type="dxa" w:w="2808"/>
          </w:tcPr>
          <w:p>
            <w:r>
              <w:t xml:space="preserve">unscored_unknown</w:t>
            </w:r>
          </w:p>
        </w:tc>
        <w:tc>
          <w:tcPr>
            <w:tcW w:type="dxa" w:w="6552"/>
          </w:tcPr>
          <w:p>
            <w:r>
              <w:t xml:space="preserve">A DID event with no resolvable application/resource — never guessed as compliant or a violation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DID — Observed Activity: </w:t>
      </w:r>
      <w:r>
        <w:t xml:space="preserve">aggregated activity over the last 90 days (application, resource, action, data classification, event count).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Submit test runtime event: </w:t>
      </w:r>
      <w:r>
        <w:t xml:space="preserve">for demonstration/testing only. In production, events arrive automatically via MCP or webhook ingestion, or the runtime.ingest-gated REST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Agent Runtime (DID) page (/runtime/agents/{agentId})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Every comparison is a pure, reproducible calculation over already-stored evidence: running it twice with no new data always produces the same result.</w:t>
      </w:r>
    </w:p>
    <w:p>
      <w:pPr>
        <w:pStyle w:val="Heading1"/>
        <w:pageBreakBefore/>
      </w:pPr>
      <w:r>
        <w:t xml:space="preserve">Risk Engine</w:t>
      </w:r>
    </w:p>
    <w:p>
      <w:pPr>
        <w:spacing w:after="140"/>
      </w:pPr>
      <w:r>
        <w:t xml:space="preserve">Turns SHOULD/CAN/DID deviations and other deterministic signals into scored, evidenced findings — severity is always a weighted calculation, never an LLM judgment.</w:t>
      </w:r>
    </w:p>
    <w:p>
      <w:pPr>
        <w:pStyle w:val="Heading2"/>
        <w:spacing w:after="120" w:before="280"/>
      </w:pPr>
      <w:r>
        <w:t xml:space="preserve">Risk — /risk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risk.read</w:t>
      </w:r>
    </w:p>
    <w:p>
      <w:pPr>
        <w:spacing w:after="140"/>
      </w:pPr>
      <w:r>
        <w:t xml:space="preserve">Every agent with open findings, worst severity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Risk list page (/risk)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An agent's Risk &amp; Findings page — /risk/agents/{agentId}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risk evaluation now </w:t>
      </w:r>
      <w:r>
        <w:t xml:space="preserve">(risk.manage) recomputes findings from current evidence: excessive access, unauthorized resource access, prohibited actions/data, ownership gaps, lifecycle violations, behavioral deviations, and more.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finding shows severity, category, status, a risk score, an explanation, contributing reasons, and a concrete recommendation.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Assign</w:t>
      </w:r>
      <w:r>
        <w:t xml:space="preserve"> a finding to a user; </w:t>
      </w:r>
      <w:r>
        <w:rPr>
          <w:b/>
          <w:bCs/>
        </w:rPr>
        <w:t xml:space="preserve">Update status</w:t>
      </w:r>
      <w:r>
        <w:t xml:space="preserve"> through acknowledged/investigating/mitigated/exception; </w:t>
      </w:r>
      <w:r>
        <w:rPr>
          <w:b/>
          <w:bCs/>
        </w:rPr>
        <w:t xml:space="preserve">Resolve</w:t>
      </w:r>
      <w:r>
        <w:t xml:space="preserve"> as verified fixed, accepted risk, or false positive (verified fixed only succeeds if the underlying evidence no longer triggers the rule).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Request remediation </w:t>
      </w:r>
      <w:r>
        <w:t xml:space="preserve">creates a remediation request, which can flow to a connected IAM system; WonderAgent never auto-revokes access itself.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CRITICAL finding can automatically move the agent's lifecycle state to RESTRICTED.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Agent Risk &amp; Findings page (/risk/agents/{agentId})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Rogue Agents — /risk/rogue</w:t>
      </w:r>
    </w:p>
    <w:p>
      <w:pPr>
        <w:spacing w:after="140"/>
      </w:pPr>
      <w:r>
        <w:t xml:space="preserve">A focused view of findings that suggest an agent may be behaving outside its intended purpose entirely: behavioral deviation, identity anomaly, ownership violation, lifecycle violation. Each agent's rogue-agent detail page includes an AI-generated summary of the evidence for human review only — the underlying detection itself is deterministic.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Rogue Agents page (/risk/rogue)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1"/>
        <w:pageBreakBefore/>
      </w:pPr>
      <w:r>
        <w:t xml:space="preserve">Certification &amp; Compliance</w:t>
      </w:r>
    </w:p>
    <w:p>
      <w:pPr>
        <w:spacing w:after="140"/>
      </w:pPr>
      <w:r>
        <w:t xml:space="preserve">Periodic, evidenced human review of agent access, plus control mappings and posture tracking.</w:t>
      </w:r>
    </w:p>
    <w:p>
      <w:pPr>
        <w:pStyle w:val="Heading2"/>
        <w:spacing w:after="120" w:before="280"/>
      </w:pPr>
      <w:r>
        <w:t xml:space="preserve">Certification Campaigns — /compliance/campaigns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compliance.read (launching requires compliance.manage)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Launch a new campaign: </w:t>
      </w:r>
      <w:r>
        <w:t xml:space="preserve">give it a Campaign name, a Scope type, a Cadence (one-time/periodic/event-driven), and a Reviewer (defaults to you). The 'agent' scope type has a dedicated Criticality filter field in this UI; application/entitlement/privileged_access/high_risk_agent are supported by the platform but configured via the API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item is pre-filled with the agent's risk severity and usage at review time, and a computed recommendation: remove if never used and medium+ risk, review if high/critical risk, otherwise keep.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campaign detail page, a reviewer records a decision per item: approve, revoke (initiates remediation), modify (requests a specific change), delegate, or request more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 items are automatically escalated to the agent's business owner once a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Certification Campaigns list page (/compliance/campaigns)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Campaign detail page (/compliance/campaigns/{id})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Controls — control mappings</w:t>
      </w:r>
    </w:p>
    <w:p>
      <w:pPr>
        <w:spacing w:after="140"/>
      </w:pPr>
      <w:r>
        <w:t xml:space="preserve">Map a control (from a framework you define) to a policy; WonderAgent then continuously reflects that control's status (compliant/non-compliant) based on whether the mapped policy currently has an open violation, unless a human attestation overrides it.</w:t>
      </w:r>
    </w:p>
    <w:p>
      <w:pPr>
        <w:pStyle w:val="Heading2"/>
        <w:spacing w:after="120" w:before="280"/>
      </w:pPr>
      <w:r>
        <w:t xml:space="preserve">Governance Posture &amp; Attestation</w:t>
      </w:r>
    </w:p>
    <w:p>
      <w:pPr>
        <w:spacing w:after="140"/>
      </w:pPr>
      <w:r>
        <w:t xml:space="preserve">A computed, 12-dimension posture score per agent, distinct from its risk score — it answers "is this agent governed" rather than "how risky is it." A Governance Attestation records a human sign-off (approver, decision, checklist, evidence, validity window) against a specific policy requirement.</w:t>
      </w:r>
    </w:p>
    <w:p>
      <w:pPr>
        <w:pStyle w:val="Heading2"/>
        <w:spacing w:after="120" w:before="280"/>
      </w:pPr>
      <w:r>
        <w:t xml:space="preserve">Exporting evidence</w:t>
      </w:r>
    </w:p>
    <w:p>
      <w:pPr>
        <w:spacing w:after="140"/>
      </w:pPr>
      <w:r>
        <w:t xml:space="preserve">From a campaign or an individual agent, export a tamper-evident evidence pack in JSON, CSV, or PDF — all three share the same SHA-256 content hash, so any later tampering with a saved copy is detectable.</w:t>
      </w:r>
    </w:p>
    <w:p>
      <w:pPr>
        <w:pStyle w:val="Heading1"/>
        <w:pageBreakBefore/>
      </w:pPr>
      <w:r>
        <w:t xml:space="preserve">Platform Administration</w:t>
      </w:r>
    </w:p>
    <w:p>
      <w:pPr>
        <w:spacing w:after="140"/>
      </w:pPr>
      <w:r>
        <w:rPr>
          <w:b/>
          <w:bCs/>
        </w:rPr>
        <w:t xml:space="preserve">This is a wholly separate console for WonderAgent's own vendor staff — not part of the customer application, and not reachable by any customer role, including TENANT_SUPER_ADMIN.</w:t>
      </w:r>
    </w:p>
    <w:p>
      <w:pPr>
        <w:spacing w:after="140"/>
      </w:pPr>
      <w:r>
        <w:t xml:space="preserve">Access is controlled by a dedicated platform_admins table, unrelated to tenant roles; a non-platform-admin hitting any /platform-admin/* URL gets a plain "not found," never a permission-denied page.</w:t>
      </w:r>
    </w:p>
    <w:p>
      <w:pPr>
        <w:pStyle w:val="Heading2"/>
        <w:spacing w:after="120" w:before="280"/>
      </w:pPr>
      <w:r>
        <w:t xml:space="preserve">Tenants — /platform-admin/tenants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Create tenant: </w:t>
      </w:r>
      <w:r>
        <w:t xml:space="preserve">name, slug, and environment (production/staging/development) — for provisioning a customer before their first user signs 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tenant: create a subscription (plan), and suspend, activate, or decommission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View a tenant's usage from its own detail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Tenants page (/platform-admin/tenants)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Feature Flags — /platform-admin/features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a flag's platform-wide default (on/off) — every change is versioned, with rollback available.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per-tenant overrides for gradual or customer-specific rollout.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Feature Flags page (/platform-admin/features)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Global Configuration — /platform-admin/branding</w:t>
      </w:r>
    </w:p>
    <w:p>
      <w:pPr>
        <w:spacing w:after="140"/>
      </w:pPr>
      <w:r>
        <w:t xml:space="preserve">Product name, support URL, docs URL, and default theme, applied platform-wide. Versioned with rollback.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Global Configuration page (/platform-admin/branding)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Announcements &amp; Maintenance Windows — /platform-admin/announcements</w:t>
      </w:r>
    </w:p>
    <w:p>
      <w:pPr>
        <w:spacing w:after="140"/>
      </w:pPr>
      <w:r>
        <w:t xml:space="preserve">Publish a notice scoped globally or to a specific tenant, of type notice/warning/maintenance, with a title, body, and optional end time. Shown as a banner in the customer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Announcements page (/platform-admin/announcements)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Platform Health — /platform-admin/health</w:t>
      </w:r>
    </w:p>
    <w:p>
      <w:pPr>
        <w:spacing w:after="140"/>
      </w:pPr>
      <w:r>
        <w:t xml:space="preserve">Operational status across tenants (read-only dashboard).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Platform Health page (/platform-admin/health)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Platform Admins — /platform-admin/admins</w:t>
      </w:r>
    </w:p>
    <w:p>
      <w:pPr>
        <w:spacing w:after="140"/>
      </w:pPr>
      <w:r>
        <w:t xml:space="preserve">Grant another user platform-admin access by their user ID. Every grant is itself audited (who granted it, and when).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Platform Admins page (/platform-admin/admins)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1"/>
        <w:pageBreakBefore/>
      </w:pPr>
      <w:r>
        <w:t xml:space="preserve">Operations</w:t>
      </w:r>
    </w:p>
    <w:p>
      <w:pPr>
        <w:pStyle w:val="Heading2"/>
        <w:spacing w:after="120" w:before="280"/>
      </w:pPr>
      <w:r>
        <w:t xml:space="preserve">Audit Trail — /audit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audit.read</w:t>
      </w:r>
    </w:p>
    <w:p>
      <w:pPr>
        <w:spacing w:after="140"/>
      </w:pPr>
      <w:r>
        <w:t xml:space="preserve">Every security-sensitive action in your tenant (who, what, target, outcome, timestamp) is recorded immutably. Filter by object type, action, actor, and a date range; export the filtered results as CSV.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Audit Trail page (/audit)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Reports — /reports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report.read (export requires report.export)</w:t>
      </w:r>
    </w:p>
    <w:p>
      <w:pPr>
        <w:spacing w:after="140"/>
      </w:pPr>
      <w:r>
        <w:t xml:space="preserve">Eight built-in reports, generated live: AI Agent Inventory, Ownership, Access Certification, Rogue Agent, Access Violation, Risk, Audit Evidence, and Policy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Reports index page (/reports)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Search — /search</w:t>
      </w:r>
    </w:p>
    <w:p>
      <w:pPr>
        <w:spacing w:after="140"/>
      </w:pPr>
      <w:r>
        <w:t xml:space="preserve">A single search box across agents, findings, policies and more. Results respect your role — e.g. a user without risk.read sees a result but not its risk detail.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Search page (/search)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Notification Preferences — /settings/notifications</w:t>
      </w:r>
    </w:p>
    <w:p>
      <w:pPr>
        <w:spacing w:after="140"/>
      </w:pPr>
      <w:r>
        <w:t xml:space="preserve">Seven notification types (certification due, overdue certification, critical finding, and others) are currently mandatory (always on, in-app + email) rather than individually togglable.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Notification Preferences page (/settings/notifications)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2"/>
        <w:spacing w:after="120" w:before="280"/>
      </w:pPr>
      <w:r>
        <w:t xml:space="preserve">AI Provider — /settings/ai</w:t>
      </w:r>
    </w:p>
    <w:p>
      <w:pPr>
        <w:spacing w:after="100"/>
      </w:pPr>
      <w:r>
        <w:rPr>
          <w:i/>
          <w:iCs/>
        </w:rPr>
        <w:t xml:space="preserve">Requires: </w:t>
      </w:r>
      <w:r>
        <w:rPr>
          <w:rFonts w:ascii="Consolas" w:cs="Consolas" w:eastAsia="Consolas" w:hAnsi="Consolas"/>
          <w:i/>
          <w:iCs/>
        </w:rPr>
        <w:t xml:space="preserve">ai.manage</w:t>
      </w:r>
    </w:p>
    <w:p>
      <w:pPr>
        <w:spacing w:after="140"/>
      </w:pPr>
      <w:r>
        <w:t xml:space="preserve">Configure OpenAI or Gemini for AI-assisted features (e.g. the rogue-agent summary). Choose bring your own key (stored encrypted) or fall back to the platform's own default key if your vendor has configured one. AI is used only for human-readable summaries and explanations — never for authorization, risk scoring, or policy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  <w:color w:val="666666"/>
              </w:rPr>
              <w:t xml:space="preserve">SCREENSHOT PLACEHOLDER — AI Provider page (/settings/ai)</w:t>
            </w:r>
            <w:r>
              <w:rPr>
                <w:i/>
                <w:iCs/>
                <w:color w:val="666666"/>
              </w:rPr>
              <w:t xml:space="preserve">  (desktop + mobile). Run </w:t>
            </w: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scripts/capture-screenshots.mjs</w:t>
            </w:r>
            <w:r>
              <w:rPr>
                <w:i/>
                <w:iCs/>
                <w:color w:val="666666"/>
              </w:rPr>
              <w:t xml:space="preserve"> to fill this in.</w:t>
            </w:r>
          </w:p>
        </w:tc>
      </w:tr>
    </w:tbl>
    <w:p>
      <w:pPr>
        <w:pStyle w:val="Heading1"/>
        <w:pageBreakBefore/>
      </w:pPr>
      <w:r>
        <w:t xml:space="preserve">Appendix</w:t>
      </w:r>
    </w:p>
    <w:p>
      <w:pPr>
        <w:pStyle w:val="Heading2"/>
        <w:spacing w:after="120" w:before="280"/>
      </w:pPr>
      <w:r>
        <w:t xml:space="preserve">How to fill in the remaining screenshots</w:t>
      </w:r>
    </w:p>
    <w:p>
      <w:pPr>
        <w:spacing w:after="140"/>
      </w:pPr>
      <w:r>
        <w:t xml:space="preserve">This guide was written in a sandbox that could reach only the two static pages above — every other screen needs your live Supabase project to render, which that sandbox's network policy blocked. To fill in the placeholders: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app somewhere with real access to your Supabase project: npm run build &amp;&amp; npm run start -- -p 3100.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node scripts/capture-screenshots.mjs</w:t>
      </w:r>
      <w:r>
        <w:t xml:space="preserve"> from the repo root,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WONDERAGENT_EMAIL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WONDERAGENT_PASSWORD</w:t>
      </w:r>
      <w:r>
        <w:t xml:space="preserve"> set to a real, already-onboarded WonderAgent account (add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WONDERAGENT_PLATFORM_EMAIL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WONDERAGENT_PLATFORM_PASSWORD</w:t>
      </w:r>
      <w:r>
        <w:t xml:space="preserve"> too if you want the Platform Administration screens).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script writes desktop + mobile PNGs into ./screenshots, named to match every placeholder in this document (e.g. agents-list-desktop.png).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each image over its matching placeholder box in this document.</w:t>
      </w:r>
    </w:p>
    <w:p>
      <w:pPr>
        <w:pStyle w:val="Heading2"/>
        <w:spacing w:after="120" w:before="280"/>
      </w:pPr>
      <w:r>
        <w:t xml:space="preserve">Role × permission reference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✓ = full access to that category, ● = read-only, blank = none.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030"/>
        <w:gridCol w:w="1030"/>
        <w:gridCol w:w="936"/>
        <w:gridCol w:w="936"/>
        <w:gridCol w:w="936"/>
        <w:gridCol w:w="749"/>
        <w:gridCol w:w="749"/>
        <w:gridCol w:w="749"/>
      </w:tblGrid>
      <w:tr>
        <w:trPr>
          <w:tblHeader/>
        </w:trPr>
        <w:tc>
          <w:tcPr>
            <w:tcW w:type="dxa" w:w="2246"/>
            <w:shd w:fill="E8E8E8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030"/>
            <w:shd w:fill="E8E8E8" w:val="clear"/>
          </w:tcPr>
          <w:p>
            <w:r>
              <w:rPr>
                <w:b/>
                <w:bCs/>
              </w:rPr>
              <w:t xml:space="preserve">Agents</w:t>
            </w:r>
          </w:p>
        </w:tc>
        <w:tc>
          <w:tcPr>
            <w:tcW w:type="dxa" w:w="1030"/>
            <w:shd w:fill="E8E8E8" w:val="clear"/>
          </w:tcPr>
          <w:p>
            <w:r>
              <w:rPr>
                <w:b/>
                <w:bCs/>
              </w:rPr>
              <w:t xml:space="preserve">Policies</w:t>
            </w:r>
          </w:p>
        </w:tc>
        <w:tc>
          <w:tcPr>
            <w:tcW w:type="dxa" w:w="936"/>
            <w:shd w:fill="E8E8E8" w:val="clear"/>
          </w:tcPr>
          <w:p>
            <w:r>
              <w:rPr>
                <w:b/>
                <w:bCs/>
              </w:rPr>
              <w:t xml:space="preserve">Integr.</w:t>
            </w:r>
          </w:p>
        </w:tc>
        <w:tc>
          <w:tcPr>
            <w:tcW w:type="dxa" w:w="936"/>
            <w:shd w:fill="E8E8E8" w:val="clear"/>
          </w:tcPr>
          <w:p>
            <w:r>
              <w:rPr>
                <w:b/>
                <w:bCs/>
              </w:rPr>
              <w:t xml:space="preserve">Findings</w:t>
            </w:r>
          </w:p>
        </w:tc>
        <w:tc>
          <w:tcPr>
            <w:tcW w:type="dxa" w:w="936"/>
            <w:shd w:fill="E8E8E8" w:val="clear"/>
          </w:tcPr>
          <w:p>
            <w:r>
              <w:rPr>
                <w:b/>
                <w:bCs/>
              </w:rPr>
              <w:t xml:space="preserve">Reports</w:t>
            </w:r>
          </w:p>
        </w:tc>
        <w:tc>
          <w:tcPr>
            <w:tcW w:type="dxa" w:w="749"/>
            <w:shd w:fill="E8E8E8" w:val="clear"/>
          </w:tcPr>
          <w:p>
            <w:r>
              <w:rPr>
                <w:b/>
                <w:bCs/>
              </w:rPr>
              <w:t xml:space="preserve">Access</w:t>
            </w:r>
          </w:p>
        </w:tc>
        <w:tc>
          <w:tcPr>
            <w:tcW w:type="dxa" w:w="749"/>
            <w:shd w:fill="E8E8E8" w:val="clear"/>
          </w:tcPr>
          <w:p>
            <w:r>
              <w:rPr>
                <w:b/>
                <w:bCs/>
              </w:rPr>
              <w:t xml:space="preserve">Runtime</w:t>
            </w:r>
          </w:p>
        </w:tc>
        <w:tc>
          <w:tcPr>
            <w:tcW w:type="dxa" w:w="749"/>
            <w:shd w:fill="E8E8E8" w:val="clear"/>
          </w:tcPr>
          <w:p>
            <w:r>
              <w:rPr>
                <w:b/>
                <w:bCs/>
              </w:rPr>
              <w:t xml:space="preserve">Compl.</w:t>
            </w:r>
          </w:p>
        </w:tc>
      </w:tr>
      <w:tr>
        <w:tc>
          <w:tcPr>
            <w:tcW w:type="dxa" w:w="2246"/>
          </w:tcPr>
          <w:p>
            <w:r>
              <w:t xml:space="preserve">TENANT_SUPER_ADMIN</w:t>
            </w:r>
          </w:p>
        </w:tc>
        <w:tc>
          <w:tcPr>
            <w:tcW w:type="dxa" w:w="1030"/>
          </w:tcPr>
          <w:p>
            <w:r>
              <w:t xml:space="preserve">✓</w:t>
            </w:r>
          </w:p>
        </w:tc>
        <w:tc>
          <w:tcPr>
            <w:tcW w:type="dxa" w:w="1030"/>
          </w:tcPr>
          <w:p>
            <w:r>
              <w:t xml:space="preserve">✓</w:t>
            </w:r>
          </w:p>
        </w:tc>
        <w:tc>
          <w:tcPr>
            <w:tcW w:type="dxa" w:w="936"/>
          </w:tcPr>
          <w:p>
            <w:r>
              <w:t xml:space="preserve">✓</w:t>
            </w:r>
          </w:p>
        </w:tc>
        <w:tc>
          <w:tcPr>
            <w:tcW w:type="dxa" w:w="936"/>
          </w:tcPr>
          <w:p>
            <w:r>
              <w:t xml:space="preserve">✓</w:t>
            </w:r>
          </w:p>
        </w:tc>
        <w:tc>
          <w:tcPr>
            <w:tcW w:type="dxa" w:w="936"/>
          </w:tcPr>
          <w:p>
            <w:r>
              <w:t xml:space="preserve">✓</w:t>
            </w:r>
          </w:p>
        </w:tc>
        <w:tc>
          <w:tcPr>
            <w:tcW w:type="dxa" w:w="749"/>
          </w:tcPr>
          <w:p>
            <w:r>
              <w:t xml:space="preserve">✓</w:t>
            </w:r>
          </w:p>
        </w:tc>
        <w:tc>
          <w:tcPr>
            <w:tcW w:type="dxa" w:w="749"/>
          </w:tcPr>
          <w:p>
            <w:r>
              <w:t xml:space="preserve">✓</w:t>
            </w:r>
          </w:p>
        </w:tc>
        <w:tc>
          <w:tcPr>
            <w:tcW w:type="dxa" w:w="749"/>
          </w:tcPr>
          <w:p>
            <w:r>
              <w:t xml:space="preserve">✓</w:t>
            </w:r>
          </w:p>
        </w:tc>
      </w:tr>
      <w:tr>
        <w:tc>
          <w:tcPr>
            <w:tcW w:type="dxa" w:w="2246"/>
          </w:tcPr>
          <w:p>
            <w:r>
              <w:t xml:space="preserve">IAM_ADMIN</w:t>
            </w:r>
          </w:p>
        </w:tc>
        <w:tc>
          <w:tcPr>
            <w:tcW w:type="dxa" w:w="1030"/>
          </w:tcPr>
          <w:p>
            <w:r>
              <w:t xml:space="preserve">✓ (no delete)</w:t>
            </w:r>
          </w:p>
        </w:tc>
        <w:tc>
          <w:tcPr>
            <w:tcW w:type="dxa" w:w="1030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✓</w:t>
            </w:r>
          </w:p>
        </w:tc>
        <w:tc>
          <w:tcPr>
            <w:tcW w:type="dxa" w:w="936"/>
          </w:tcPr>
          <w:p>
            <w:r>
              <w:t xml:space="preserve">✓</w:t>
            </w:r>
          </w:p>
        </w:tc>
        <w:tc>
          <w:tcPr>
            <w:tcW w:type="dxa" w:w="936"/>
          </w:tcPr>
          <w:p>
            <w:r>
              <w:t xml:space="preserve">✓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</w:tr>
      <w:tr>
        <w:tc>
          <w:tcPr>
            <w:tcW w:type="dxa" w:w="2246"/>
          </w:tcPr>
          <w:p>
            <w:r>
              <w:t xml:space="preserve">IAM_ARCHITECT</w:t>
            </w:r>
          </w:p>
        </w:tc>
        <w:tc>
          <w:tcPr>
            <w:tcW w:type="dxa" w:w="1030"/>
          </w:tcPr>
          <w:p>
            <w:r>
              <w:t xml:space="preserve">read/update</w:t>
            </w:r>
          </w:p>
        </w:tc>
        <w:tc>
          <w:tcPr>
            <w:tcW w:type="dxa" w:w="1030"/>
          </w:tcPr>
          <w:p>
            <w:r>
              <w:t xml:space="preserve">✓ (no delete)</w:t>
            </w:r>
          </w:p>
        </w:tc>
        <w:tc>
          <w:tcPr>
            <w:tcW w:type="dxa" w:w="936"/>
          </w:tcPr>
          <w:p>
            <w:r>
              <w:t xml:space="preserve">create/update</w:t>
            </w:r>
          </w:p>
        </w:tc>
        <w:tc>
          <w:tcPr>
            <w:tcW w:type="dxa" w:w="936"/>
          </w:tcPr>
          <w:p>
            <w:r>
              <w:t xml:space="preserve">—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</w:tr>
      <w:tr>
        <w:tc>
          <w:tcPr>
            <w:tcW w:type="dxa" w:w="2246"/>
          </w:tcPr>
          <w:p>
            <w:r>
              <w:t xml:space="preserve">SECURITY_ADMIN</w:t>
            </w:r>
          </w:p>
        </w:tc>
        <w:tc>
          <w:tcPr>
            <w:tcW w:type="dxa" w:w="1030"/>
          </w:tcPr>
          <w:p>
            <w:r>
              <w:t xml:space="preserve">●</w:t>
            </w:r>
          </w:p>
        </w:tc>
        <w:tc>
          <w:tcPr>
            <w:tcW w:type="dxa" w:w="1030"/>
          </w:tcPr>
          <w:p>
            <w:r>
              <w:t xml:space="preserve">✓ (no delete)</w:t>
            </w:r>
          </w:p>
        </w:tc>
        <w:tc>
          <w:tcPr>
            <w:tcW w:type="dxa" w:w="936"/>
          </w:tcPr>
          <w:p>
            <w:r>
              <w:t xml:space="preserve">—</w:t>
            </w:r>
          </w:p>
        </w:tc>
        <w:tc>
          <w:tcPr>
            <w:tcW w:type="dxa" w:w="936"/>
          </w:tcPr>
          <w:p>
            <w:r>
              <w:t xml:space="preserve">✓</w:t>
            </w:r>
          </w:p>
        </w:tc>
        <w:tc>
          <w:tcPr>
            <w:tcW w:type="dxa" w:w="936"/>
          </w:tcPr>
          <w:p>
            <w:r>
              <w:t xml:space="preserve">✓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</w:tr>
      <w:tr>
        <w:tc>
          <w:tcPr>
            <w:tcW w:type="dxa" w:w="2246"/>
          </w:tcPr>
          <w:p>
            <w:r>
              <w:t xml:space="preserve">CERTIFICATION_MANAGER</w:t>
            </w:r>
          </w:p>
        </w:tc>
        <w:tc>
          <w:tcPr>
            <w:tcW w:type="dxa" w:w="1030"/>
          </w:tcPr>
          <w:p>
            <w:r>
              <w:t xml:space="preserve">read/certify</w:t>
            </w:r>
          </w:p>
        </w:tc>
        <w:tc>
          <w:tcPr>
            <w:tcW w:type="dxa" w:w="1030"/>
          </w:tcPr>
          <w:p>
            <w:r>
              <w:t xml:space="preserve">—</w:t>
            </w:r>
          </w:p>
        </w:tc>
        <w:tc>
          <w:tcPr>
            <w:tcW w:type="dxa" w:w="936"/>
          </w:tcPr>
          <w:p>
            <w:r>
              <w:t xml:space="preserve">—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✓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</w:tr>
      <w:tr>
        <w:tc>
          <w:tcPr>
            <w:tcW w:type="dxa" w:w="2246"/>
          </w:tcPr>
          <w:p>
            <w:r>
              <w:t xml:space="preserve">BUSINESS/TECHNICAL/APPLICATION_OWNER</w:t>
            </w:r>
          </w:p>
        </w:tc>
        <w:tc>
          <w:tcPr>
            <w:tcW w:type="dxa" w:w="1030"/>
          </w:tcPr>
          <w:p>
            <w:r>
              <w:t xml:space="preserve">read/update</w:t>
            </w:r>
          </w:p>
        </w:tc>
        <w:tc>
          <w:tcPr>
            <w:tcW w:type="dxa" w:w="1030"/>
          </w:tcPr>
          <w:p>
            <w:r>
              <w:t xml:space="preserve">—</w:t>
            </w:r>
          </w:p>
        </w:tc>
        <w:tc>
          <w:tcPr>
            <w:tcW w:type="dxa" w:w="936"/>
          </w:tcPr>
          <w:p>
            <w:r>
              <w:t xml:space="preserve">—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</w:tr>
      <w:tr>
        <w:tc>
          <w:tcPr>
            <w:tcW w:type="dxa" w:w="2246"/>
          </w:tcPr>
          <w:p>
            <w:r>
              <w:t xml:space="preserve">AUDITOR</w:t>
            </w:r>
          </w:p>
        </w:tc>
        <w:tc>
          <w:tcPr>
            <w:tcW w:type="dxa" w:w="1030"/>
          </w:tcPr>
          <w:p>
            <w:r>
              <w:t xml:space="preserve">●</w:t>
            </w:r>
          </w:p>
        </w:tc>
        <w:tc>
          <w:tcPr>
            <w:tcW w:type="dxa" w:w="1030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✓ (export)</w:t>
            </w:r>
          </w:p>
        </w:tc>
        <w:tc>
          <w:tcPr>
            <w:tcW w:type="dxa" w:w="749"/>
          </w:tcPr>
          <w:p>
            <w:r>
              <w:t xml:space="preserve">●</w:t>
            </w:r>
          </w:p>
        </w:tc>
        <w:tc>
          <w:tcPr>
            <w:tcW w:type="dxa" w:w="749"/>
          </w:tcPr>
          <w:p>
            <w:r>
              <w:t xml:space="preserve">●</w:t>
            </w:r>
          </w:p>
        </w:tc>
        <w:tc>
          <w:tcPr>
            <w:tcW w:type="dxa" w:w="749"/>
          </w:tcPr>
          <w:p>
            <w:r>
              <w:t xml:space="preserve">●</w:t>
            </w:r>
          </w:p>
        </w:tc>
      </w:tr>
      <w:tr>
        <w:tc>
          <w:tcPr>
            <w:tcW w:type="dxa" w:w="2246"/>
          </w:tcPr>
          <w:p>
            <w:r>
              <w:t xml:space="preserve">REQUESTER</w:t>
            </w:r>
          </w:p>
        </w:tc>
        <w:tc>
          <w:tcPr>
            <w:tcW w:type="dxa" w:w="1030"/>
          </w:tcPr>
          <w:p>
            <w:r>
              <w:t xml:space="preserve">●</w:t>
            </w:r>
          </w:p>
        </w:tc>
        <w:tc>
          <w:tcPr>
            <w:tcW w:type="dxa" w:w="1030"/>
          </w:tcPr>
          <w:p>
            <w:r>
              <w:t xml:space="preserve">—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—</w:t>
            </w:r>
          </w:p>
        </w:tc>
        <w:tc>
          <w:tcPr>
            <w:tcW w:type="dxa" w:w="936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  <w:tc>
          <w:tcPr>
            <w:tcW w:type="dxa" w:w="749"/>
          </w:tcPr>
          <w:p>
            <w:r>
              <w:t xml:space="preserve">—</w:t>
            </w:r>
          </w:p>
        </w:tc>
      </w:tr>
      <w:tr>
        <w:tc>
          <w:tcPr>
            <w:tcW w:type="dxa" w:w="2246"/>
          </w:tcPr>
          <w:p>
            <w:r>
              <w:t xml:space="preserve">READ_ONLY</w:t>
            </w:r>
          </w:p>
        </w:tc>
        <w:tc>
          <w:tcPr>
            <w:tcW w:type="dxa" w:w="1030"/>
          </w:tcPr>
          <w:p>
            <w:r>
              <w:t xml:space="preserve">●</w:t>
            </w:r>
          </w:p>
        </w:tc>
        <w:tc>
          <w:tcPr>
            <w:tcW w:type="dxa" w:w="1030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936"/>
          </w:tcPr>
          <w:p>
            <w:r>
              <w:t xml:space="preserve">●</w:t>
            </w:r>
          </w:p>
        </w:tc>
        <w:tc>
          <w:tcPr>
            <w:tcW w:type="dxa" w:w="749"/>
          </w:tcPr>
          <w:p>
            <w:r>
              <w:t xml:space="preserve">●</w:t>
            </w:r>
          </w:p>
        </w:tc>
        <w:tc>
          <w:tcPr>
            <w:tcW w:type="dxa" w:w="749"/>
          </w:tcPr>
          <w:p>
            <w:r>
              <w:t xml:space="preserve">●</w:t>
            </w:r>
          </w:p>
        </w:tc>
        <w:tc>
          <w:tcPr>
            <w:tcW w:type="dxa" w:w="749"/>
          </w:tcPr>
          <w:p>
            <w:r>
              <w:t xml:space="preserve">●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Access/Runtime/Compliance permissions were added after the original role catalog; each module's own migration grants them per-role — TENANT_SUPER_ADMIN and READ_ONLY/AUDITOR always get full/read access respectively to every new module.</w:t>
      </w:r>
    </w:p>
    <w:p>
      <w:pPr>
        <w:pStyle w:val="Heading2"/>
        <w:spacing w:after="120" w:before="280"/>
      </w:pPr>
      <w:r>
        <w:t xml:space="preserve">Environment configuration (for whoever deploys WonderAgent)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404"/>
        <w:gridCol w:w="4680"/>
      </w:tblGrid>
      <w:tr>
        <w:trPr>
          <w:tblHeader/>
        </w:trPr>
        <w:tc>
          <w:tcPr>
            <w:tcW w:type="dxa" w:w="3276"/>
            <w:shd w:fill="E8E8E8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1404"/>
            <w:shd w:fill="E8E8E8" w:val="clear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4680"/>
            <w:shd w:fill="E8E8E8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76"/>
          </w:tcPr>
          <w:p>
            <w:r>
              <w:t xml:space="preserve">NEXT_PUBLIC_SUPABASE_URL</w:t>
            </w:r>
          </w:p>
        </w:tc>
        <w:tc>
          <w:tcPr>
            <w:tcW w:type="dxa" w:w="1404"/>
          </w:tcPr>
          <w:p>
            <w:r>
              <w:t xml:space="preserve">Yes</w:t>
            </w:r>
          </w:p>
        </w:tc>
        <w:tc>
          <w:tcPr>
            <w:tcW w:type="dxa" w:w="4680"/>
          </w:tcPr>
          <w:p>
            <w:r>
              <w:t xml:space="preserve">Supabase project URL (safe for the browser)</w:t>
            </w:r>
          </w:p>
        </w:tc>
      </w:tr>
      <w:tr>
        <w:tc>
          <w:tcPr>
            <w:tcW w:type="dxa" w:w="3276"/>
          </w:tcPr>
          <w:p>
            <w:r>
              <w:t xml:space="preserve">NEXT_PUBLIC_SUPABASE_PUBLISHABLE_KEY</w:t>
            </w:r>
          </w:p>
        </w:tc>
        <w:tc>
          <w:tcPr>
            <w:tcW w:type="dxa" w:w="1404"/>
          </w:tcPr>
          <w:p>
            <w:r>
              <w:t xml:space="preserve">Yes</w:t>
            </w:r>
          </w:p>
        </w:tc>
        <w:tc>
          <w:tcPr>
            <w:tcW w:type="dxa" w:w="4680"/>
          </w:tcPr>
          <w:p>
            <w:r>
              <w:t xml:space="preserve">Supabase public key (safe for the browser)</w:t>
            </w:r>
          </w:p>
        </w:tc>
      </w:tr>
      <w:tr>
        <w:tc>
          <w:tcPr>
            <w:tcW w:type="dxa" w:w="3276"/>
          </w:tcPr>
          <w:p>
            <w:r>
              <w:t xml:space="preserve">SUPABASE_SERVICE_ROLE_KEY</w:t>
            </w:r>
          </w:p>
        </w:tc>
        <w:tc>
          <w:tcPr>
            <w:tcW w:type="dxa" w:w="1404"/>
          </w:tcPr>
          <w:p>
            <w:r>
              <w:t xml:space="preserve">Yes</w:t>
            </w:r>
          </w:p>
        </w:tc>
        <w:tc>
          <w:tcPr>
            <w:tcW w:type="dxa" w:w="4680"/>
          </w:tcPr>
          <w:p>
            <w:r>
              <w:t xml:space="preserve">Server-only — never exposed to the browser, logs, or source control</w:t>
            </w:r>
          </w:p>
        </w:tc>
      </w:tr>
      <w:tr>
        <w:tc>
          <w:tcPr>
            <w:tcW w:type="dxa" w:w="3276"/>
          </w:tcPr>
          <w:p>
            <w:r>
              <w:t xml:space="preserve">SECRET_ENCRYPTION_KEY</w:t>
            </w:r>
          </w:p>
        </w:tc>
        <w:tc>
          <w:tcPr>
            <w:tcW w:type="dxa" w:w="1404"/>
          </w:tcPr>
          <w:p>
            <w:r>
              <w:t xml:space="preserve">Yes</w:t>
            </w:r>
          </w:p>
        </w:tc>
        <w:tc>
          <w:tcPr>
            <w:tcW w:type="dxa" w:w="4680"/>
          </w:tcPr>
          <w:p>
            <w:r>
              <w:t xml:space="preserve">Encrypts stored integration credentials</w:t>
            </w:r>
          </w:p>
        </w:tc>
      </w:tr>
      <w:tr>
        <w:tc>
          <w:tcPr>
            <w:tcW w:type="dxa" w:w="3276"/>
          </w:tcPr>
          <w:p>
            <w:r>
              <w:t xml:space="preserve">PLATFORM_OPENAI_API_KEY / PLATFORM_GEMINI_API_KEY</w:t>
            </w:r>
          </w:p>
        </w:tc>
        <w:tc>
          <w:tcPr>
            <w:tcW w:type="dxa" w:w="1404"/>
          </w:tcPr>
          <w:p>
            <w:r>
              <w:t xml:space="preserve">Optional</w:t>
            </w:r>
          </w:p>
        </w:tc>
        <w:tc>
          <w:tcPr>
            <w:tcW w:type="dxa" w:w="4680"/>
          </w:tcPr>
          <w:p>
            <w:r>
              <w:t xml:space="preserve">Platform-wide default AI key for tenants without their own (BYOK still takes priority)</w:t>
            </w:r>
          </w:p>
        </w:tc>
      </w:tr>
      <w:tr>
        <w:tc>
          <w:tcPr>
            <w:tcW w:type="dxa" w:w="3276"/>
          </w:tcPr>
          <w:p>
            <w:r>
              <w:t xml:space="preserve">RESEND_API_KEY / RESEND_FROM_EMAIL</w:t>
            </w:r>
          </w:p>
        </w:tc>
        <w:tc>
          <w:tcPr>
            <w:tcW w:type="dxa" w:w="1404"/>
          </w:tcPr>
          <w:p>
            <w:r>
              <w:t xml:space="preserve">Optional</w:t>
            </w:r>
          </w:p>
        </w:tc>
        <w:tc>
          <w:tcPr>
            <w:tcW w:type="dxa" w:w="4680"/>
          </w:tcPr>
          <w:p>
            <w:r>
              <w:t xml:space="preserve">Enables the email channel for mandatory notifications; without it, notifications stay in-app only</w:t>
            </w:r>
          </w:p>
        </w:tc>
      </w:tr>
      <w:tr>
        <w:tc>
          <w:tcPr>
            <w:tcW w:type="dxa" w:w="3276"/>
          </w:tcPr>
          <w:p>
            <w:r>
              <w:t xml:space="preserve">CRON_SECRET</w:t>
            </w:r>
          </w:p>
        </w:tc>
        <w:tc>
          <w:tcPr>
            <w:tcW w:type="dxa" w:w="1404"/>
          </w:tcPr>
          <w:p>
            <w:r>
              <w:t xml:space="preserve">Yes, if deploying the scheduled job</w:t>
            </w:r>
          </w:p>
        </w:tc>
        <w:tc>
          <w:tcPr>
            <w:tcW w:type="dxa" w:w="4680"/>
          </w:tcPr>
          <w:p>
            <w:r>
              <w:t xml:space="preserve">Authenticates Vercel Cron's daily call to the certification-escalation job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Glossary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Tenant — </w:t>
      </w:r>
      <w:r>
        <w:t xml:space="preserve">your organization. Every record you create belongs to exactly one tenant; WonderAgent enforces this at the database level, not just in the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SHOULD — </w:t>
      </w:r>
      <w:r>
        <w:t xml:space="preserve">what an agent is approved to do, from its published contract.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CAN — </w:t>
      </w:r>
      <w:r>
        <w:t xml:space="preserve">what an agent can technically do, from its effective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DID — </w:t>
      </w:r>
      <w:r>
        <w:t xml:space="preserve">what an agent actually did, from observed runtime activity.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Effective access — </w:t>
      </w:r>
      <w:r>
        <w:t xml:space="preserve">the full set of entitlements an agent currently holds, resolved through its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Finding — </w:t>
      </w:r>
      <w:r>
        <w:t xml:space="preserve">a scored, evidenced risk detected by the Risk Engine.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Certification campaign — </w:t>
      </w:r>
      <w:r>
        <w:t xml:space="preserve">a scheduled review of a set of agents' access, ending in a human decision per item.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Rogue agent — </w:t>
      </w:r>
      <w:r>
        <w:t xml:space="preserve">an agent showing signs of behaving outside its intended purpose (behavioral deviation, identity anomaly, ownership or lifecycle violation).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B5563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979c04e12084d8334476748838ee65506a9fca.png"/><Relationship Id="rId8" Type="http://schemas.openxmlformats.org/officeDocument/2006/relationships/image" Target="media/d5994aa23e8ac2775a93e7f6c93dbb277d2d4c7b.png"/><Relationship Id="rId9" Type="http://schemas.openxmlformats.org/officeDocument/2006/relationships/image" Target="media/28537e60e3cf99dafef24f3ef51fddfaacf5bcdd.png"/><Relationship Id="rId10" Type="http://schemas.openxmlformats.org/officeDocument/2006/relationships/image" Target="media/44fdbbe298367b16e5f52c374b2b915e3b98940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2026-09-16T17:27:16.616Z</dcterms:created>
  <dcterms:modified xsi:type="dcterms:W3CDTF">2026-09-16T17:27:16.616Z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