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8FBB0" w14:textId="77777777" w:rsidR="00D26550" w:rsidRDefault="009C1243">
      <w:r>
        <w:rPr>
          <w:noProof/>
        </w:rPr>
        <w:drawing>
          <wp:inline distT="114300" distB="114300" distL="114300" distR="114300" wp14:anchorId="1AD4DB78" wp14:editId="72F4506D">
            <wp:extent cx="573120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990600"/>
                    </a:xfrm>
                    <a:prstGeom prst="rect">
                      <a:avLst/>
                    </a:prstGeom>
                    <a:ln/>
                  </pic:spPr>
                </pic:pic>
              </a:graphicData>
            </a:graphic>
          </wp:inline>
        </w:drawing>
      </w:r>
    </w:p>
    <w:p w14:paraId="2C99C8E2" w14:textId="77777777" w:rsidR="00D26550" w:rsidRDefault="00D26550"/>
    <w:p w14:paraId="22BC47AA" w14:textId="77777777" w:rsidR="00D26550" w:rsidRDefault="00D2655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5778"/>
      </w:tblGrid>
      <w:tr w:rsidR="00D26550" w14:paraId="6741C985" w14:textId="77777777" w:rsidTr="00F539E8">
        <w:trPr>
          <w:trHeight w:val="742"/>
        </w:trPr>
        <w:tc>
          <w:tcPr>
            <w:tcW w:w="9029" w:type="dxa"/>
            <w:gridSpan w:val="2"/>
            <w:shd w:val="clear" w:color="auto" w:fill="auto"/>
            <w:tcMar>
              <w:top w:w="100" w:type="dxa"/>
              <w:left w:w="100" w:type="dxa"/>
              <w:bottom w:w="100" w:type="dxa"/>
              <w:right w:w="100" w:type="dxa"/>
            </w:tcMar>
          </w:tcPr>
          <w:p w14:paraId="2C161C20" w14:textId="77777777" w:rsidR="00D26550" w:rsidRDefault="009C1243">
            <w:pPr>
              <w:jc w:val="center"/>
            </w:pPr>
            <w:r>
              <w:rPr>
                <w:b/>
                <w:color w:val="0C343D"/>
                <w:sz w:val="38"/>
                <w:szCs w:val="38"/>
              </w:rPr>
              <w:t xml:space="preserve">Estructura inicial del proyecto </w:t>
            </w:r>
          </w:p>
        </w:tc>
      </w:tr>
      <w:tr w:rsidR="00D26550" w14:paraId="2197156F" w14:textId="77777777" w:rsidTr="00F539E8">
        <w:tc>
          <w:tcPr>
            <w:tcW w:w="3251" w:type="dxa"/>
            <w:shd w:val="clear" w:color="auto" w:fill="auto"/>
            <w:tcMar>
              <w:top w:w="100" w:type="dxa"/>
              <w:left w:w="100" w:type="dxa"/>
              <w:bottom w:w="100" w:type="dxa"/>
              <w:right w:w="100" w:type="dxa"/>
            </w:tcMar>
          </w:tcPr>
          <w:p w14:paraId="61DCE19C" w14:textId="77777777" w:rsidR="00D26550" w:rsidRDefault="009C1243">
            <w:r>
              <w:rPr>
                <w:b/>
                <w:color w:val="1F497D"/>
                <w:sz w:val="40"/>
                <w:szCs w:val="40"/>
              </w:rPr>
              <w:t>Título</w:t>
            </w:r>
          </w:p>
        </w:tc>
        <w:tc>
          <w:tcPr>
            <w:tcW w:w="5778" w:type="dxa"/>
            <w:shd w:val="clear" w:color="auto" w:fill="auto"/>
            <w:tcMar>
              <w:top w:w="100" w:type="dxa"/>
              <w:left w:w="100" w:type="dxa"/>
              <w:bottom w:w="100" w:type="dxa"/>
              <w:right w:w="100" w:type="dxa"/>
            </w:tcMar>
          </w:tcPr>
          <w:p w14:paraId="71C805E5" w14:textId="6AD328F4" w:rsidR="00D26550" w:rsidRPr="00F539E8" w:rsidRDefault="009941F4" w:rsidP="00F539E8">
            <w:pPr>
              <w:widowControl w:val="0"/>
              <w:pBdr>
                <w:top w:val="nil"/>
                <w:left w:val="nil"/>
                <w:bottom w:val="nil"/>
                <w:right w:val="nil"/>
                <w:between w:val="nil"/>
              </w:pBdr>
              <w:spacing w:line="240" w:lineRule="auto"/>
              <w:jc w:val="both"/>
              <w:rPr>
                <w:sz w:val="20"/>
                <w:szCs w:val="20"/>
              </w:rPr>
            </w:pPr>
            <w:r>
              <w:rPr>
                <w:sz w:val="20"/>
                <w:szCs w:val="20"/>
              </w:rPr>
              <w:t>C</w:t>
            </w:r>
            <w:r w:rsidR="00194E14" w:rsidRPr="00F539E8">
              <w:rPr>
                <w:sz w:val="20"/>
                <w:szCs w:val="20"/>
              </w:rPr>
              <w:t>recimiento de las energías renovables y su impacto en las emisiones de carbono a nivel global</w:t>
            </w:r>
            <w:r w:rsidR="0092359E" w:rsidRPr="00F539E8">
              <w:rPr>
                <w:sz w:val="20"/>
                <w:szCs w:val="20"/>
              </w:rPr>
              <w:t xml:space="preserve"> y regional</w:t>
            </w:r>
          </w:p>
        </w:tc>
      </w:tr>
      <w:tr w:rsidR="00D26550" w14:paraId="48397046" w14:textId="77777777" w:rsidTr="00F539E8">
        <w:tc>
          <w:tcPr>
            <w:tcW w:w="3251" w:type="dxa"/>
            <w:shd w:val="clear" w:color="auto" w:fill="auto"/>
            <w:tcMar>
              <w:top w:w="100" w:type="dxa"/>
              <w:left w:w="100" w:type="dxa"/>
              <w:bottom w:w="100" w:type="dxa"/>
              <w:right w:w="100" w:type="dxa"/>
            </w:tcMar>
          </w:tcPr>
          <w:p w14:paraId="3C1E04E3" w14:textId="77777777" w:rsidR="00D26550" w:rsidRDefault="009C1243">
            <w:r>
              <w:rPr>
                <w:b/>
                <w:color w:val="1F497D"/>
                <w:sz w:val="40"/>
                <w:szCs w:val="40"/>
              </w:rPr>
              <w:t>Objetivo general</w:t>
            </w:r>
          </w:p>
        </w:tc>
        <w:tc>
          <w:tcPr>
            <w:tcW w:w="5778" w:type="dxa"/>
            <w:shd w:val="clear" w:color="auto" w:fill="auto"/>
            <w:tcMar>
              <w:top w:w="100" w:type="dxa"/>
              <w:left w:w="100" w:type="dxa"/>
              <w:bottom w:w="100" w:type="dxa"/>
              <w:right w:w="100" w:type="dxa"/>
            </w:tcMar>
          </w:tcPr>
          <w:p w14:paraId="66AE4FD4" w14:textId="288B3641" w:rsidR="00D26550" w:rsidRPr="00F539E8" w:rsidRDefault="00AF4030" w:rsidP="00F539E8">
            <w:pPr>
              <w:widowControl w:val="0"/>
              <w:spacing w:line="240" w:lineRule="auto"/>
              <w:jc w:val="both"/>
              <w:rPr>
                <w:sz w:val="20"/>
                <w:szCs w:val="20"/>
              </w:rPr>
            </w:pPr>
            <w:r>
              <w:rPr>
                <w:sz w:val="20"/>
                <w:szCs w:val="20"/>
              </w:rPr>
              <w:t>Analizar</w:t>
            </w:r>
            <w:r w:rsidR="0092359E" w:rsidRPr="00F539E8">
              <w:rPr>
                <w:sz w:val="20"/>
                <w:szCs w:val="20"/>
              </w:rPr>
              <w:t xml:space="preserve"> el crecimiento del consumo de energías renovables y su relación con la reducción de emisiones de dióxido de carbono (CO</w:t>
            </w:r>
            <w:r w:rsidR="0092359E" w:rsidRPr="00F539E8">
              <w:rPr>
                <w:rFonts w:ascii="Cambria Math" w:hAnsi="Cambria Math" w:cs="Cambria Math"/>
                <w:sz w:val="20"/>
                <w:szCs w:val="20"/>
              </w:rPr>
              <w:t>₂</w:t>
            </w:r>
            <w:r w:rsidR="0092359E" w:rsidRPr="00F539E8">
              <w:rPr>
                <w:sz w:val="20"/>
                <w:szCs w:val="20"/>
              </w:rPr>
              <w:t>) a nivel global y regional, con el propósito de identificar tendencias, correlaciones y diferencias entre regiones con políticas energéticas diversas.</w:t>
            </w:r>
          </w:p>
        </w:tc>
      </w:tr>
      <w:tr w:rsidR="00D26550" w14:paraId="7FBBE9CC" w14:textId="77777777" w:rsidTr="00F539E8">
        <w:tc>
          <w:tcPr>
            <w:tcW w:w="3251" w:type="dxa"/>
            <w:shd w:val="clear" w:color="auto" w:fill="auto"/>
            <w:tcMar>
              <w:top w:w="100" w:type="dxa"/>
              <w:left w:w="100" w:type="dxa"/>
              <w:bottom w:w="100" w:type="dxa"/>
              <w:right w:w="100" w:type="dxa"/>
            </w:tcMar>
          </w:tcPr>
          <w:p w14:paraId="5E951BB9" w14:textId="1DA113BF" w:rsidR="00D26550" w:rsidRDefault="00875E6A">
            <w:r>
              <w:rPr>
                <w:b/>
                <w:color w:val="1F497D"/>
                <w:sz w:val="40"/>
                <w:szCs w:val="40"/>
              </w:rPr>
              <w:t>Objetivos específicos</w:t>
            </w:r>
          </w:p>
        </w:tc>
        <w:tc>
          <w:tcPr>
            <w:tcW w:w="5778" w:type="dxa"/>
            <w:shd w:val="clear" w:color="auto" w:fill="auto"/>
            <w:tcMar>
              <w:top w:w="100" w:type="dxa"/>
              <w:left w:w="100" w:type="dxa"/>
              <w:bottom w:w="100" w:type="dxa"/>
              <w:right w:w="100" w:type="dxa"/>
            </w:tcMar>
          </w:tcPr>
          <w:p w14:paraId="20A540F0" w14:textId="0112E868" w:rsidR="00DC7F5B" w:rsidRPr="00F539E8" w:rsidRDefault="002D53F1" w:rsidP="00F539E8">
            <w:pPr>
              <w:widowControl w:val="0"/>
              <w:spacing w:line="240" w:lineRule="auto"/>
              <w:jc w:val="both"/>
              <w:rPr>
                <w:sz w:val="20"/>
                <w:szCs w:val="20"/>
              </w:rPr>
            </w:pPr>
            <w:r w:rsidRPr="00F539E8">
              <w:rPr>
                <w:sz w:val="20"/>
                <w:szCs w:val="20"/>
              </w:rPr>
              <w:t>-Recopilar y organizar los datos sobre el consumo de energías renovables y las emisiones de CO</w:t>
            </w:r>
            <w:r w:rsidRPr="00F539E8">
              <w:rPr>
                <w:rFonts w:ascii="Cambria Math" w:hAnsi="Cambria Math" w:cs="Cambria Math"/>
                <w:sz w:val="20"/>
                <w:szCs w:val="20"/>
              </w:rPr>
              <w:t>₂</w:t>
            </w:r>
            <w:r w:rsidRPr="00F539E8">
              <w:rPr>
                <w:sz w:val="20"/>
                <w:szCs w:val="20"/>
              </w:rPr>
              <w:t xml:space="preserve"> por país y región.</w:t>
            </w:r>
          </w:p>
          <w:p w14:paraId="3F0D31B9" w14:textId="29040336" w:rsidR="00681197" w:rsidRPr="00F539E8" w:rsidRDefault="002D53F1" w:rsidP="00F539E8">
            <w:pPr>
              <w:widowControl w:val="0"/>
              <w:spacing w:line="240" w:lineRule="auto"/>
              <w:jc w:val="both"/>
              <w:rPr>
                <w:sz w:val="20"/>
                <w:szCs w:val="20"/>
              </w:rPr>
            </w:pPr>
            <w:r w:rsidRPr="00F539E8">
              <w:rPr>
                <w:sz w:val="20"/>
                <w:szCs w:val="20"/>
              </w:rPr>
              <w:t>- Visualizar la evolución del consumo de fuentes renovables como solar, eólica, hidroeléctrica</w:t>
            </w:r>
            <w:r w:rsidR="00681197" w:rsidRPr="00F539E8">
              <w:rPr>
                <w:sz w:val="20"/>
                <w:szCs w:val="20"/>
              </w:rPr>
              <w:t xml:space="preserve">, </w:t>
            </w:r>
            <w:r w:rsidRPr="00F539E8">
              <w:rPr>
                <w:sz w:val="20"/>
                <w:szCs w:val="20"/>
              </w:rPr>
              <w:t xml:space="preserve">biomasa </w:t>
            </w:r>
            <w:r w:rsidR="00681197" w:rsidRPr="00F539E8">
              <w:rPr>
                <w:sz w:val="20"/>
                <w:szCs w:val="20"/>
              </w:rPr>
              <w:t xml:space="preserve">y nuclear </w:t>
            </w:r>
            <w:r w:rsidRPr="00F539E8">
              <w:rPr>
                <w:sz w:val="20"/>
                <w:szCs w:val="20"/>
              </w:rPr>
              <w:t>en distintas regiones.</w:t>
            </w:r>
          </w:p>
          <w:p w14:paraId="4CECD51B" w14:textId="331B84B2" w:rsidR="00681197" w:rsidRPr="00F539E8" w:rsidRDefault="002D53F1" w:rsidP="00F539E8">
            <w:pPr>
              <w:widowControl w:val="0"/>
              <w:spacing w:line="240" w:lineRule="auto"/>
              <w:jc w:val="both"/>
              <w:rPr>
                <w:sz w:val="20"/>
                <w:szCs w:val="20"/>
              </w:rPr>
            </w:pPr>
            <w:r w:rsidRPr="00F539E8">
              <w:rPr>
                <w:sz w:val="20"/>
                <w:szCs w:val="20"/>
              </w:rPr>
              <w:t>- Analizar la correlación entre el aumento del consumo de energías renovables y la reducción de emisiones de CO</w:t>
            </w:r>
            <w:r w:rsidRPr="00F539E8">
              <w:rPr>
                <w:rFonts w:ascii="Cambria Math" w:hAnsi="Cambria Math" w:cs="Cambria Math"/>
                <w:sz w:val="20"/>
                <w:szCs w:val="20"/>
              </w:rPr>
              <w:t>₂</w:t>
            </w:r>
            <w:r w:rsidRPr="00F539E8">
              <w:rPr>
                <w:sz w:val="20"/>
                <w:szCs w:val="20"/>
              </w:rPr>
              <w:t>.</w:t>
            </w:r>
          </w:p>
          <w:p w14:paraId="1FCDF9B3" w14:textId="54A6E55D" w:rsidR="00681197" w:rsidRPr="00F539E8" w:rsidRDefault="002D53F1" w:rsidP="00F539E8">
            <w:pPr>
              <w:widowControl w:val="0"/>
              <w:spacing w:line="240" w:lineRule="auto"/>
              <w:jc w:val="both"/>
              <w:rPr>
                <w:sz w:val="20"/>
                <w:szCs w:val="20"/>
              </w:rPr>
            </w:pPr>
            <w:r w:rsidRPr="00F539E8">
              <w:rPr>
                <w:sz w:val="20"/>
                <w:szCs w:val="20"/>
              </w:rPr>
              <w:t>- Comparar el desempeño de distintas regiones en la transición hacia una matriz energética más sostenible.</w:t>
            </w:r>
          </w:p>
          <w:p w14:paraId="0B957526" w14:textId="1E83F479" w:rsidR="00E75774" w:rsidRPr="00F539E8" w:rsidRDefault="002D53F1" w:rsidP="00F539E8">
            <w:pPr>
              <w:widowControl w:val="0"/>
              <w:spacing w:line="240" w:lineRule="auto"/>
              <w:jc w:val="both"/>
              <w:rPr>
                <w:sz w:val="20"/>
                <w:szCs w:val="20"/>
              </w:rPr>
            </w:pPr>
            <w:r w:rsidRPr="00F539E8">
              <w:rPr>
                <w:sz w:val="20"/>
                <w:szCs w:val="20"/>
              </w:rPr>
              <w:t>- Identificar patrones que puedan informar políticas públicas sobre transición energética y mitigación del cambio climático.</w:t>
            </w:r>
          </w:p>
        </w:tc>
      </w:tr>
      <w:tr w:rsidR="00D26550" w14:paraId="47C9DC6F" w14:textId="77777777" w:rsidTr="00F539E8">
        <w:tc>
          <w:tcPr>
            <w:tcW w:w="3251" w:type="dxa"/>
            <w:shd w:val="clear" w:color="auto" w:fill="auto"/>
            <w:tcMar>
              <w:top w:w="100" w:type="dxa"/>
              <w:left w:w="100" w:type="dxa"/>
              <w:bottom w:w="100" w:type="dxa"/>
              <w:right w:w="100" w:type="dxa"/>
            </w:tcMar>
          </w:tcPr>
          <w:p w14:paraId="670543BF" w14:textId="77777777" w:rsidR="00D26550" w:rsidRDefault="009C1243">
            <w:r>
              <w:rPr>
                <w:b/>
                <w:color w:val="1F497D"/>
                <w:sz w:val="40"/>
                <w:szCs w:val="40"/>
              </w:rPr>
              <w:t>Planteamiento del problema</w:t>
            </w:r>
          </w:p>
        </w:tc>
        <w:tc>
          <w:tcPr>
            <w:tcW w:w="5778" w:type="dxa"/>
            <w:shd w:val="clear" w:color="auto" w:fill="auto"/>
            <w:tcMar>
              <w:top w:w="100" w:type="dxa"/>
              <w:left w:w="100" w:type="dxa"/>
              <w:bottom w:w="100" w:type="dxa"/>
              <w:right w:w="100" w:type="dxa"/>
            </w:tcMar>
          </w:tcPr>
          <w:p w14:paraId="4C147499" w14:textId="26DB7F0B" w:rsidR="00D26550" w:rsidRPr="00F539E8" w:rsidRDefault="00F539E8">
            <w:pPr>
              <w:widowControl w:val="0"/>
              <w:pBdr>
                <w:top w:val="nil"/>
                <w:left w:val="nil"/>
                <w:bottom w:val="nil"/>
                <w:right w:val="nil"/>
                <w:between w:val="nil"/>
              </w:pBdr>
              <w:spacing w:line="240" w:lineRule="auto"/>
              <w:rPr>
                <w:sz w:val="20"/>
                <w:szCs w:val="20"/>
              </w:rPr>
            </w:pPr>
            <w:r w:rsidRPr="00F539E8">
              <w:rPr>
                <w:sz w:val="20"/>
                <w:szCs w:val="20"/>
              </w:rPr>
              <w:t>En las últimas décadas, el cambio climático se ha consolidado como una amenaza global, impulsado en gran parte por las emisiones de gases de efecto invernadero, en especial el dióxido de carbono (CO</w:t>
            </w:r>
            <w:r w:rsidRPr="00F539E8">
              <w:rPr>
                <w:rFonts w:ascii="Cambria Math" w:hAnsi="Cambria Math" w:cs="Cambria Math"/>
                <w:sz w:val="20"/>
                <w:szCs w:val="20"/>
              </w:rPr>
              <w:t>₂</w:t>
            </w:r>
            <w:r w:rsidRPr="00F539E8">
              <w:rPr>
                <w:sz w:val="20"/>
                <w:szCs w:val="20"/>
              </w:rPr>
              <w:t>) derivado del uso intensivo de combustibles fósiles. Ante este panorama, las energías renovables han emergido como una solución estratégica para descarbonizar las matrices energéticas. No obstante, el grado de adopción de fuentes renovables como la energía solar, eólica, hidroeléctrica</w:t>
            </w:r>
            <w:r>
              <w:rPr>
                <w:sz w:val="20"/>
                <w:szCs w:val="20"/>
              </w:rPr>
              <w:t xml:space="preserve">, </w:t>
            </w:r>
            <w:r w:rsidRPr="00F539E8">
              <w:rPr>
                <w:sz w:val="20"/>
                <w:szCs w:val="20"/>
              </w:rPr>
              <w:t>biomasa</w:t>
            </w:r>
            <w:r>
              <w:rPr>
                <w:sz w:val="20"/>
                <w:szCs w:val="20"/>
              </w:rPr>
              <w:t xml:space="preserve"> y nuclear</w:t>
            </w:r>
            <w:r w:rsidRPr="00F539E8">
              <w:rPr>
                <w:sz w:val="20"/>
                <w:szCs w:val="20"/>
              </w:rPr>
              <w:t xml:space="preserve"> varía considerablemente entre regiones, debido a factores económicos, tecnológicos y políticos. En este contexto, resulta esencial analizar cómo el crecimiento en el consumo de energías renovables ha influido en la dinámica de emisiones de CO</w:t>
            </w:r>
            <w:r w:rsidRPr="00F539E8">
              <w:rPr>
                <w:rFonts w:ascii="Cambria Math" w:hAnsi="Cambria Math" w:cs="Cambria Math"/>
                <w:sz w:val="20"/>
                <w:szCs w:val="20"/>
              </w:rPr>
              <w:t>₂</w:t>
            </w:r>
            <w:r w:rsidRPr="00F539E8">
              <w:rPr>
                <w:sz w:val="20"/>
                <w:szCs w:val="20"/>
              </w:rPr>
              <w:t>, con el fin de identificar buenas prácticas, evaluar la efectividad de políticas públicas y proponer rutas hacia una transición energética global sostenible.</w:t>
            </w:r>
          </w:p>
        </w:tc>
      </w:tr>
      <w:tr w:rsidR="00D26550" w14:paraId="6AE7B8B8" w14:textId="77777777" w:rsidTr="00F539E8">
        <w:tc>
          <w:tcPr>
            <w:tcW w:w="3251" w:type="dxa"/>
            <w:shd w:val="clear" w:color="auto" w:fill="auto"/>
            <w:tcMar>
              <w:top w:w="100" w:type="dxa"/>
              <w:left w:w="100" w:type="dxa"/>
              <w:bottom w:w="100" w:type="dxa"/>
              <w:right w:w="100" w:type="dxa"/>
            </w:tcMar>
          </w:tcPr>
          <w:p w14:paraId="261A79C6" w14:textId="77777777" w:rsidR="00D26550" w:rsidRDefault="009C1243">
            <w:pPr>
              <w:rPr>
                <w:b/>
                <w:color w:val="1F497D"/>
                <w:sz w:val="40"/>
                <w:szCs w:val="40"/>
              </w:rPr>
            </w:pPr>
            <w:r>
              <w:rPr>
                <w:b/>
                <w:color w:val="1F497D"/>
                <w:sz w:val="40"/>
                <w:szCs w:val="40"/>
              </w:rPr>
              <w:t>Equipo de trabajo</w:t>
            </w:r>
          </w:p>
        </w:tc>
        <w:tc>
          <w:tcPr>
            <w:tcW w:w="5778" w:type="dxa"/>
            <w:shd w:val="clear" w:color="auto" w:fill="auto"/>
            <w:tcMar>
              <w:top w:w="100" w:type="dxa"/>
              <w:left w:w="100" w:type="dxa"/>
              <w:bottom w:w="100" w:type="dxa"/>
              <w:right w:w="100" w:type="dxa"/>
            </w:tcMar>
          </w:tcPr>
          <w:p w14:paraId="74B8A6E6" w14:textId="169CFFE1" w:rsidR="00D26550" w:rsidRPr="00F539E8" w:rsidRDefault="009C1243">
            <w:pPr>
              <w:widowControl w:val="0"/>
              <w:pBdr>
                <w:top w:val="nil"/>
                <w:left w:val="nil"/>
                <w:bottom w:val="nil"/>
                <w:right w:val="nil"/>
                <w:between w:val="nil"/>
              </w:pBdr>
              <w:spacing w:line="240" w:lineRule="auto"/>
              <w:rPr>
                <w:sz w:val="20"/>
                <w:szCs w:val="20"/>
              </w:rPr>
            </w:pPr>
            <w:r w:rsidRPr="009C1243">
              <w:rPr>
                <w:sz w:val="20"/>
                <w:szCs w:val="20"/>
              </w:rPr>
              <w:t>Luver Echeverry Vargas, Claudia Lemus Espinosa, María Fernanda Henao, Alejandra Zapata Ortiz, Dylan moya, Lina Fernández de Castro, Miguel Patiño.</w:t>
            </w:r>
          </w:p>
        </w:tc>
      </w:tr>
    </w:tbl>
    <w:p w14:paraId="56A64BBA" w14:textId="77777777" w:rsidR="00D26550" w:rsidRDefault="00D26550"/>
    <w:sectPr w:rsidR="00D265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extDA0NzQxNDUyNbFU0lEKTi0uzszPAykwqgUAivQ65iwAAAA="/>
  </w:docVars>
  <w:rsids>
    <w:rsidRoot w:val="00D26550"/>
    <w:rsid w:val="00152A8D"/>
    <w:rsid w:val="00194E14"/>
    <w:rsid w:val="002D53F1"/>
    <w:rsid w:val="004F16CE"/>
    <w:rsid w:val="00521D85"/>
    <w:rsid w:val="00681197"/>
    <w:rsid w:val="00875E6A"/>
    <w:rsid w:val="00884C32"/>
    <w:rsid w:val="008D23ED"/>
    <w:rsid w:val="0092359E"/>
    <w:rsid w:val="009941F4"/>
    <w:rsid w:val="009C1243"/>
    <w:rsid w:val="00A96AE8"/>
    <w:rsid w:val="00AD7E2C"/>
    <w:rsid w:val="00AF4030"/>
    <w:rsid w:val="00C6353A"/>
    <w:rsid w:val="00D26550"/>
    <w:rsid w:val="00DC7F5B"/>
    <w:rsid w:val="00E75774"/>
    <w:rsid w:val="00F539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2381"/>
  <w15:docId w15:val="{2C911E4B-22CF-43AC-86EF-2975D9F2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C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 FORERO</dc:creator>
  <cp:lastModifiedBy>Luver De Jesús Echeverry Vargas</cp:lastModifiedBy>
  <cp:revision>13</cp:revision>
  <dcterms:created xsi:type="dcterms:W3CDTF">2025-03-25T23:37:00Z</dcterms:created>
  <dcterms:modified xsi:type="dcterms:W3CDTF">2025-03-27T00:36:00Z</dcterms:modified>
</cp:coreProperties>
</file>