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sz w:val="24"/>
          <w:szCs w:val="24"/>
        </w:rPr>
        <w:t xml:space="preserve">Міністерство освіти і науки України</w:t>
      </w:r>
    </w:p>
    <w:p>
      <w:pPr>
        <w:spacing w:after="0"/>
        <w:jc w:val="center"/>
      </w:pPr>
      <w:r>
        <w:rPr>
          <w:sz w:val="24"/>
          <w:szCs w:val="24"/>
        </w:rPr>
        <w:t xml:space="preserve">Національний технічний університет України</w:t>
      </w:r>
    </w:p>
    <w:p>
      <w:pPr>
        <w:spacing w:after="0"/>
        <w:jc w:val="center"/>
      </w:pPr>
      <w:r>
        <w:rPr>
          <w:sz w:val="24"/>
          <w:szCs w:val="24"/>
        </w:rPr>
        <w:t xml:space="preserve">«Київський політехнічний інститут імені Ігоря Сікорського»</w:t>
      </w:r>
    </w:p>
    <w:p>
      <w:pPr>
        <w:spacing w:after="0"/>
        <w:jc w:val="center"/>
      </w:pPr>
      <w:r>
        <w:rPr>
          <w:sz w:val="24"/>
          <w:szCs w:val="24"/>
        </w:rPr>
        <w:t xml:space="preserve">Факультет інформатики та обчислювальної техніки</w:t>
      </w:r>
    </w:p>
    <w:p>
      <w:pPr>
        <w:spacing w:after="0"/>
        <w:jc w:val="center"/>
      </w:pPr>
      <w:r>
        <w:rPr>
          <w:sz w:val="24"/>
          <w:szCs w:val="24"/>
        </w:rPr>
        <w:t xml:space="preserve">Кафедра обчислювальної техніки</w:t>
      </w:r>
    </w:p>
    <w:p>
      <w:pPr>
        <w:spacing w:after="0" w:before="600"/>
        <w:jc w:val="center"/>
      </w:pPr>
      <w:r>
        <w:rPr>
          <w:b/>
          <w:bCs/>
          <w:sz w:val="36"/>
          <w:szCs w:val="36"/>
        </w:rPr>
        <w:t xml:space="preserve">МІНІ-ЗВІТ</w:t>
      </w:r>
    </w:p>
    <w:p>
      <w:pPr>
        <w:spacing w:after="0" w:before="120"/>
        <w:jc w:val="center"/>
      </w:pPr>
      <w:r>
        <w:rPr>
          <w:sz w:val="28"/>
          <w:szCs w:val="28"/>
        </w:rPr>
        <w:t xml:space="preserve">до Лабораторної роботи №3</w:t>
      </w:r>
    </w:p>
    <w:p>
      <w:pPr>
        <w:spacing w:after="0" w:before="120"/>
        <w:jc w:val="center"/>
      </w:pPr>
      <w:r>
        <w:rPr>
          <w:sz w:val="24"/>
          <w:szCs w:val="24"/>
        </w:rPr>
        <w:t xml:space="preserve">з дисципліни «Технології розгортання програмного забезпечення»</w:t>
      </w:r>
    </w:p>
    <w:p>
      <w:pPr>
        <w:spacing w:after="0" w:before="120"/>
        <w:jc w:val="center"/>
      </w:pPr>
      <w:r>
        <w:rPr>
          <w:b/>
          <w:bCs/>
          <w:sz w:val="26"/>
          <w:szCs w:val="26"/>
        </w:rPr>
        <w:t xml:space="preserve">«CI/CD»</w:t>
      </w:r>
    </w:p>
    <w:p>
      <w:pPr>
        <w:spacing w:after="0" w:before="600"/>
        <w:jc w:val="center"/>
      </w:pPr>
      <w:r>
        <w:rPr>
          <w:sz w:val="24"/>
          <w:szCs w:val="24"/>
        </w:rPr>
        <w:t xml:space="preserve">Виконала:</w:t>
      </w:r>
    </w:p>
    <w:p>
      <w:pPr>
        <w:spacing w:after="0"/>
        <w:jc w:val="center"/>
      </w:pPr>
      <w:r>
        <w:rPr>
          <w:sz w:val="24"/>
          <w:szCs w:val="24"/>
        </w:rPr>
        <w:t xml:space="preserve">студентка групи ІМ-44</w:t>
      </w:r>
    </w:p>
    <w:p>
      <w:pPr>
        <w:spacing w:after="0"/>
        <w:jc w:val="center"/>
      </w:pPr>
      <w:r>
        <w:rPr>
          <w:sz w:val="24"/>
          <w:szCs w:val="24"/>
        </w:rPr>
        <w:t xml:space="preserve">Крошка Дар'я Олександрівна</w:t>
      </w:r>
    </w:p>
    <w:p>
      <w:pPr>
        <w:spacing w:after="0"/>
        <w:jc w:val="center"/>
      </w:pPr>
      <w:r>
        <w:rPr>
          <w:sz w:val="24"/>
          <w:szCs w:val="24"/>
        </w:rPr>
        <w:t xml:space="preserve">Номер у списку групи: 11</w:t>
      </w:r>
    </w:p>
    <w:p>
      <w:pPr>
        <w:spacing w:after="0" w:before="600"/>
        <w:jc w:val="center"/>
      </w:pPr>
      <w:r>
        <w:rPr>
          <w:sz w:val="22"/>
          <w:szCs w:val="22"/>
        </w:rPr>
        <w:t xml:space="preserve">Київ 2026</w:t>
      </w:r>
    </w:p>
    <w:p>
      <w:r>
        <w:br w:type="page"/>
      </w:r>
    </w:p>
    <w:p>
      <w:pPr>
        <w:pStyle w:val="Heading1"/>
      </w:pPr>
      <w:r>
        <w:t xml:space="preserve">1. Призначення міні-звіту</w:t>
      </w:r>
    </w:p>
    <w:p>
      <w:pPr>
        <w:spacing w:after="120"/>
      </w:pPr>
      <w:r>
        <w:t xml:space="preserve">Оскільки GitHub зберігає логи запусків Actions обмежений час, цей міні-звіт фіксує скріншоти та текстові логи з розділу «Демонстрація» Лабораторної роботи №3. Звіт підтверджує, що CI/CD-конвеєр налаштовано та продемонстровано всі обов'язкові сценарії.</w:t>
      </w:r>
    </w:p>
    <w:p>
      <w:pPr>
        <w:spacing w:after="120"/>
      </w:pPr>
      <w:r>
        <w:t xml:space="preserve">Посилання на репозиторій: </w:t>
      </w:r>
      <w:r>
        <w:rPr>
          <w:b/>
          <w:bCs/>
        </w:rPr>
        <w:t xml:space="preserve">_______________________________________</w:t>
      </w:r>
      <w:r>
        <w:t xml:space="preserve">  (вписати URL публічного репозиторію)</w:t>
      </w:r>
    </w:p>
    <w:p>
      <w:pPr>
        <w:pStyle w:val="Heading2"/>
      </w:pPr>
      <w:r>
        <w:t xml:space="preserve">1.1. Структура конвеєра</w:t>
      </w:r>
    </w:p>
    <w:p>
      <w:pPr>
        <w:spacing w:after="120"/>
      </w:pPr>
      <w:r>
        <w:t xml:space="preserve">CI/CD-конвеєр складається з п'яти job-ів: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/ tag / PR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ruff, mypy, hadolint, shellcheck, yamllint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/ tag / PR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pytest + coverage (поріг 40%)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push в main, теги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збірка образу, публікація в GHCR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анотовані теги v*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розгортання на target node з self-hosted runner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анотовані теги v*</w:t>
            </w:r>
          </w:p>
        </w:tc>
        <w:tc>
          <w:tcPr>
            <w:tcW w:type="dxa" w:w="5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пост-deploy перевірка розгортання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9"/>
          <w:szCs w:val="19"/>
        </w:rPr>
        <w:t xml:space="preserve">Таблиця 1. Job-и CI/CD-конвеєра.</w:t>
      </w:r>
    </w:p>
    <w:p>
      <w:pPr>
        <w:pStyle w:val="Heading1"/>
        <w:pageBreakBefore/>
      </w:pPr>
      <w:r>
        <w:t xml:space="preserve">2. Pull Request, успішно злитий в main</w:t>
      </w:r>
    </w:p>
    <w:p>
      <w:pPr>
        <w:spacing w:after="120"/>
      </w:pPr>
      <w:r>
        <w:t xml:space="preserve">Створено фіче-гілку з коректною зміною, відкрито Pull Request у гілку main. Усі обов'язкові перевірки (Lint, Test) пройшли успішно, після чого PR було злито.</w:t>
      </w:r>
    </w:p>
    <w:p>
      <w:pPr>
        <w:spacing w:after="120"/>
      </w:pPr>
      <w:r>
        <w:t xml:space="preserve">URL Pull Request: </w:t>
      </w:r>
      <w:r>
        <w:rPr>
          <w:b/>
          <w:bCs/>
        </w:rPr>
        <w:t xml:space="preserve">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сторінка PR із зеленими галочками Lint та Test, активна кнопка Merge 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сторінка PR після злиття (статус «Merged») ]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Коментар: захист гілки main налаштовано так, що злиття дозволяється лише після успішного проходження перевірок Lint і Test (Settings → Branches → Branch protection rules).</w:t>
      </w:r>
    </w:p>
    <w:p>
      <w:pPr>
        <w:pStyle w:val="Heading1"/>
        <w:pageBreakBefore/>
      </w:pPr>
      <w:r>
        <w:t xml:space="preserve">3. Pull Request, заблокований для злиття</w:t>
      </w:r>
    </w:p>
    <w:p>
      <w:pPr>
        <w:spacing w:after="120"/>
      </w:pPr>
      <w:r>
        <w:t xml:space="preserve">Створено окрему фіче-гілку, в яку навмисно внесено зміну, що ламає автоматичні тести (або аналіз коду). Відкрито Pull Request у main. Перевірка Test завершилася з помилкою, тому кнопка злиття залишилась заблокованою.</w:t>
      </w:r>
    </w:p>
    <w:p>
      <w:pPr>
        <w:spacing w:after="120"/>
      </w:pPr>
      <w:r>
        <w:t xml:space="preserve">URL Pull Request: </w:t>
      </w:r>
      <w:r>
        <w:rPr>
          <w:b/>
          <w:bCs/>
        </w:rPr>
        <w:t xml:space="preserve">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сторінка PR із червоною позначкою проваленого Test job, неактивна кнопка Merge 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лог проваленого Test job (видно конкретний тест, що впав) ]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Коментар: правило захисту гілки коректно заборонило злиття PR із поламаними перевірками — захист main працює як очікувалося.</w:t>
      </w:r>
    </w:p>
    <w:p>
      <w:pPr>
        <w:pStyle w:val="Heading1"/>
        <w:pageBreakBefore/>
      </w:pPr>
      <w:r>
        <w:t xml:space="preserve">4. Успішне розгортання та успішна верифікація</w:t>
      </w:r>
    </w:p>
    <w:p>
      <w:pPr>
        <w:spacing w:after="120"/>
      </w:pPr>
      <w:r>
        <w:t xml:space="preserve">Створено анотований тег (наприклад v1.0.0) та запушено в репозиторій. Це запустило повний конвеєр: Lint → Test → Build → Deploy → Verify. Образ зібрано та опубліковано в GHCR, розгорнуто на target node з self-hosted runner-а, верифікація пройшла успішно.</w:t>
      </w:r>
    </w:p>
    <w:p>
      <w:pPr>
        <w:spacing w:after="120"/>
      </w:pPr>
      <w:r>
        <w:t xml:space="preserve">Тег: </w:t>
      </w:r>
      <w:r>
        <w:rPr>
          <w:b/>
          <w:bCs/>
        </w:rPr>
        <w:t xml:space="preserve">____________</w:t>
      </w:r>
      <w:r>
        <w:t xml:space="preserve">      URL запуску Actions: </w:t>
      </w:r>
      <w:r>
        <w:rPr>
          <w:b/>
          <w:bCs/>
        </w:rPr>
        <w:t xml:space="preserve">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граф конвеєра в Actions: усі 5 job-ів зелені ]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Лог job-а Deploy (текстова копія):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[deploy] target image: ghcr.io/&lt;owner&gt;/&lt;repo&gt;:v1.0.0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[deploy] restarting mywebapp.service...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[deploy] waiting for service to become healthy ...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[deploy] service responded with HTTP 200 after Ns.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[deploy] deployment of ... completed successfully.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(вставити реальний лог з вашого запуску)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лог job-а Deploy у GitHub Actions ]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Лог job-а Verify (текстова копія):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=== mywebapp deployment verification ===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[PASS] service reachable via nginx (GET /items) (got 200)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[PASS] root returns HTML (Accept: text/html) (got 200)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[PASS] root Content-Type is text/html ...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[PASS] /health/alive is hidden by nginx (got 404)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[PASS] /health/ready is hidden by nginx (got 404)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[PASS] unknown path returns 404 (got 404)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[PASS] POST /items returns 201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[PASS] GET /items/&lt;id&gt; returns 200 (DB write was persisted)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=== summary: 8 passed, 0 failed ===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(вставити реальний лог з вашого запуску)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лог job-а Verify із усіма перевірками PASS ]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5. Розгортання та неуспішна верифікація</w:t>
      </w:r>
    </w:p>
    <w:p>
      <w:pPr>
        <w:spacing w:after="120"/>
      </w:pPr>
      <w:r>
        <w:t xml:space="preserve">Для демонстрації обробки помилки верифікації штучно створено несправність на target node (наприклад, зупинено nginx або порушено його конфігурацію), після чого запущено верифікацію. Job Verify завершився з помилкою, що коректно позначило весь запуск як неуспішний.</w:t>
      </w:r>
    </w:p>
    <w:p>
      <w:pPr>
        <w:spacing w:after="120"/>
      </w:pPr>
      <w:r>
        <w:t xml:space="preserve">Як відтворити несправність (один із варіантів):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# на target node — зупинити reverse proxy перед запуском Verify: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sudo systemctl stop nginx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# або: зупинити сам контейнер застосунку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cd /opt/mywebapp &amp;&amp; sudo docker compose down</w:t>
      </w:r>
    </w:p>
    <w:p>
      <w:pPr>
        <w:spacing w:after="120"/>
      </w:pPr>
      <w:r>
        <w:t xml:space="preserve">URL запуску Actions: </w:t>
      </w:r>
      <w:r>
        <w:rPr>
          <w:b/>
          <w:bCs/>
        </w:rPr>
        <w:t xml:space="preserve">________________________________</w:t>
      </w:r>
    </w:p>
    <w:p>
      <w:pPr>
        <w:spacing w:after="120"/>
      </w:pPr>
      <w:r>
        <w:t xml:space="preserve">Лог job-а Verify (текстова копія, неуспішний):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=== mywebapp deployment verification ===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[FAIL] service reachable via nginx (GET /items) (expected 200, got 000)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[FAIL] root returns HTML (Accept: text/html) (expected 200, got 000)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=== summary: 2 passed, 6 failed ===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Error: Process completed with exit code 1.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9"/>
          <w:szCs w:val="19"/>
        </w:rPr>
        <w:t xml:space="preserve">(вставити реальний лог з вашого запуску)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граф конвеєра в Actions: Deploy зелений, Verify червоний 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лог job-а Verify із позначками FAIL ]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Коментар: скрипт верифікації коректно виявив непрацездатність сервісу та завершився з ненульовим кодом, через що GitHub Actions позначив запуск як неуспішний. Після демонстрації несправність усувається (наприклад, sudo systemctl start nginx).</w:t>
      </w:r>
    </w:p>
    <w:p>
      <w:pPr>
        <w:pStyle w:val="Heading1"/>
        <w:pageBreakBefore/>
      </w:pPr>
      <w:r>
        <w:t xml:space="preserve">6. Звіт про покриття коду тестами</w:t>
      </w:r>
    </w:p>
    <w:p>
      <w:pPr>
        <w:spacing w:after="120"/>
      </w:pPr>
      <w:r>
        <w:t xml:space="preserve">Набір автоматичних тестів перевіряє коректність роботи веб-застосунку: ендпоінти /items (створення, перелік, перегляд за id), content negotiation (HTML/JSON), службові ендпоінти /health/*, кореневий ендпоінт, а також модуль конфігурації. Покриття коду тестами вимірюється через pytest-cov; конвеєр вважає тестування неуспішним, якщо покриття нижче 40%.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Кількість тестів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test_config / test_health / test_items / test_root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Покриття коду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94%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поріг проходження — 40%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coverage-html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вивантажується з кожного запуску Test job</w:t>
            </w:r>
          </w:p>
        </w:tc>
      </w:tr>
    </w:tbl>
    <w:p>
      <w:pPr>
        <w:spacing w:after="200" w:before="40"/>
      </w:pPr>
      <w:r>
        <w:rPr>
          <w:i/>
          <w:iCs/>
          <w:color w:val="555555"/>
          <w:sz w:val="19"/>
          <w:szCs w:val="19"/>
        </w:rPr>
        <w:t xml:space="preserve">Таблиця 2. Підсумок покриття коду тестами.</w:t>
      </w:r>
    </w:p>
    <w:p>
      <w:pPr>
        <w:spacing w:after="120"/>
      </w:pPr>
      <w:r>
        <w:t xml:space="preserve">Актуальний HTML-звіт про покриття вивантажується як артефакт coverage-html у кожному запуску job-а Test (вкладка Actions → конкретний запуск → розділ Artifacts).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підсумок pytest у лозі Test job (22 passed, Total coverage) 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HTML-звіт coverage (htmlcov/index.html) з артефакту ]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7. Self-hosted runner та target node</w:t>
      </w:r>
    </w:p>
    <w:p>
      <w:pPr>
        <w:spacing w:after="120"/>
      </w:pPr>
      <w:r>
        <w:t xml:space="preserve">Для розгортання застосунку локально на віртуальній машині піднято дві окремі VM на базі Ubuntu 24.04 Server: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VM з self-hosted runner. </w:t>
      </w:r>
      <w:r>
        <w:t xml:space="preserve">Налаштована скриптом runner/setup-runner.sh. Реєстрація runner-а в репозиторії виконана вручну (токен у репозиторій не додавався).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VM target node. </w:t>
      </w:r>
      <w:r>
        <w:t xml:space="preserve">Налаштована скриптом deploy/target-node-setup.sh — встановлено Docker, PostgreSQL, nginx, створено systemd-unit mywebapp.service для керування контейнером.</w:t>
      </w:r>
    </w:p>
    <w:p>
      <w:pPr>
        <w:spacing w:after="120"/>
      </w:pPr>
      <w:r>
        <w:t xml:space="preserve">Runner має SSH-доступ до target node від непривілейованого користувача deploy; розгортання застосунку відбувається саме на target node, а не на VM з runner-ом. Після завершення лабораторної роботи VM з runner-ом зупиняється (або видаляється), а runner вилучається з налаштувань репозиторію.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FAFA" w:val="clear"/>
            <w:tcMar>
              <w:top w:type="dxa" w:w="360"/>
              <w:left w:type="dxa" w:w="200"/>
              <w:bottom w:type="dxa" w:w="36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[ Місце для скріншота: сторінка Settings → Actions → Runners з активним self-hosted runner-ом ]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Висновок: CI/CD-конвеєр налаштовано та продемонстровано повністю — автоматичний аналіз коду, тестування з контролем покриття, збірка та публікація образу, розгортання через self-hosted runner і верифікація розгортання працюють як в успішному, так і в неуспішному сценаріях.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Міні-звіт ЛР3 — CI/CD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2026-05-16T08:43:29.008Z</dcterms:created>
  <dcterms:modified xsi:type="dcterms:W3CDTF">2026-05-16T08:43:29.008Z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