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0F2942"/>
          <w:sz w:val="56"/>
          <w:szCs w:val="56"/>
        </w:rPr>
        <w:t xml:space="preserve">HELIOS</w:t>
      </w:r>
    </w:p>
    <w:p>
      <w:pPr>
        <w:spacing w:after="160" w:before="0"/>
        <w:jc w:val="center"/>
      </w:pPr>
      <w:r>
        <w:rPr>
          <w:rFonts w:ascii="Calibri" w:cs="Calibri" w:eastAsia="Calibri" w:hAnsi="Calibri"/>
          <w:b/>
          <w:bCs/>
          <w:color w:val="0D9488"/>
          <w:sz w:val="28"/>
          <w:szCs w:val="28"/>
        </w:rPr>
        <w:t xml:space="preserve">Healthcare Enabled Language &amp; Intelligent Observation System</w:t>
      </w:r>
    </w:p>
    <w:p>
      <w:pPr>
        <w:spacing w:after="360" w:before="0"/>
        <w:jc w:val="center"/>
      </w:pPr>
      <w:r>
        <w:rPr>
          <w:rFonts w:ascii="Calibri" w:cs="Calibri" w:eastAsia="Calibri" w:hAnsi="Calibri"/>
          <w:i/>
          <w:iCs/>
          <w:color w:val="64748B"/>
          <w:sz w:val="22"/>
          <w:szCs w:val="22"/>
        </w:rPr>
        <w:t xml:space="preserve">Comprehensive Architecture, Operational Working Guide &amp; Detailed Flowcharts
Proposed for Smart India Hackathon 2026 — SIH26047</w:t>
      </w:r>
    </w:p>
    <w:tbl>
      <w:tblPr>
        <w:tblW w:type="pct" w:w="100%"/>
        <w:tblBorders>
          <w:top w:val="none"/>
          <w:left w:val="single" w:color="0D9488" w:sz="24"/>
          <w:bottom w:val="none"/>
          <w:right w:val="none"/>
          <w:insideH w:val="single" w:color="auto" w:sz="4"/>
          <w:insideV w:val="single" w:color="auto" w:sz="4"/>
        </w:tblBorders>
      </w:tblPr>
      <w:tblGrid>
        <w:gridCol w:w="100"/>
      </w:tblGrid>
      <w:tr>
        <w:tc>
          <w:tcPr>
            <w:shd w:fill="F0FDFA" w:val="clear"/>
            <w:tcMar>
              <w:top w:type="dxa" w:w="120"/>
              <w:left w:type="dxa" w:w="180"/>
              <w:bottom w:type="dxa" w:w="120"/>
              <w:right w:type="dxa" w:w="180"/>
            </w:tcMar>
          </w:tcPr>
          <w:p>
            <w:pPr>
              <w:spacing w:after="60"/>
            </w:pPr>
            <w:r>
              <w:rPr>
                <w:rFonts w:ascii="Calibri" w:cs="Calibri" w:eastAsia="Calibri" w:hAnsi="Calibri"/>
                <w:b/>
                <w:bCs/>
                <w:color w:val="0D9488"/>
                <w:sz w:val="22"/>
                <w:szCs w:val="22"/>
              </w:rPr>
              <w:t xml:space="preserve">📌 System Mission &amp; Core Value Proposition</w:t>
            </w:r>
          </w:p>
          <w:p>
            <w:r>
              <w:rPr>
                <w:rFonts w:ascii="Calibri" w:cs="Calibri" w:eastAsia="Calibri" w:hAnsi="Calibri"/>
                <w:i/>
                <w:iCs/>
                <w:color w:val="1E293B"/>
                <w:sz w:val="20"/>
                <w:szCs w:val="20"/>
              </w:rPr>
              <w:t xml:space="preserve">Turn waiting room time into structured, clinical intelligence through an accessible, multilingual, consent-first kiosk experience for patients and a rapid 30-second verification workspace for physicians.</w:t>
            </w:r>
          </w:p>
        </w:tc>
      </w:tr>
    </w:tbl>
    <w:p>
      <w:pPr>
        <w:pStyle w:val="Heading1"/>
        <w:spacing w:after="140" w:before="360"/>
      </w:pPr>
      <w:r>
        <w:rPr>
          <w:rFonts w:ascii="Calibri" w:cs="Calibri" w:eastAsia="Calibri" w:hAnsi="Calibri"/>
          <w:b/>
          <w:bCs/>
          <w:color w:val="0F2942"/>
          <w:sz w:val="32"/>
          <w:szCs w:val="32"/>
        </w:rPr>
        <w:t xml:space="preserve">1. Executive Summary &amp; Problem Statement</w:t>
      </w:r>
    </w:p>
    <w:p>
      <w:pPr>
        <w:spacing w:after="80" w:before="60" w:line="280"/>
        <w:jc w:val="left"/>
      </w:pPr>
      <w:r>
        <w:rPr>
          <w:rFonts w:ascii="Calibri" w:cs="Calibri" w:eastAsia="Calibri" w:hAnsi="Calibri"/>
          <w:b w:val="false"/>
          <w:bCs w:val="false"/>
          <w:i w:val="false"/>
          <w:iCs w:val="false"/>
          <w:color w:val="1E293B"/>
          <w:sz w:val="22"/>
          <w:szCs w:val="22"/>
        </w:rPr>
        <w:t xml:space="preserve">In high-volume public healthcare systems and outpatient clinics across India, outpatient departments (OPDs) face an extreme time and communication imbalance:</w:t>
      </w:r>
    </w:p>
    <w:p>
      <w:pPr>
        <w:pStyle w:val="ListParagraph"/>
        <w:numPr>
          <w:ilvl w:val="0"/>
          <w:numId w:val="1"/>
        </w:numPr>
        <w:spacing w:after="40" w:before="40" w:line="260"/>
      </w:pPr>
      <w:r>
        <w:rPr>
          <w:rFonts w:ascii="Calibri" w:cs="Calibri" w:eastAsia="Calibri" w:hAnsi="Calibri"/>
          <w:b/>
          <w:bCs/>
          <w:color w:val="0F2942"/>
          <w:sz w:val="22"/>
          <w:szCs w:val="22"/>
        </w:rPr>
        <w:t xml:space="preserve">The Waiting Room Paradox: </w:t>
      </w:r>
      <w:r>
        <w:rPr>
          <w:rFonts w:ascii="Calibri" w:cs="Calibri" w:eastAsia="Calibri" w:hAnsi="Calibri"/>
          <w:color w:val="1E293B"/>
          <w:sz w:val="22"/>
          <w:szCs w:val="22"/>
        </w:rPr>
        <w:t xml:space="preserve">Patients typically wait between 45 and 90 minutes before seeing a physician. Yet, once inside the consultation room, the doctor has only 3 to 5 minutes to understand the patient's entire clinical background, parse prior handwritten prescriptions, identify active medications, and perform an exam.</w:t>
      </w:r>
    </w:p>
    <w:p>
      <w:pPr>
        <w:pStyle w:val="ListParagraph"/>
        <w:numPr>
          <w:ilvl w:val="0"/>
          <w:numId w:val="1"/>
        </w:numPr>
        <w:spacing w:after="40" w:before="40" w:line="260"/>
      </w:pPr>
      <w:r>
        <w:rPr>
          <w:rFonts w:ascii="Calibri" w:cs="Calibri" w:eastAsia="Calibri" w:hAnsi="Calibri"/>
          <w:b/>
          <w:bCs/>
          <w:color w:val="0F2942"/>
          <w:sz w:val="22"/>
          <w:szCs w:val="22"/>
        </w:rPr>
        <w:t xml:space="preserve">Language &amp; Communication Barriers: </w:t>
      </w:r>
      <w:r>
        <w:rPr>
          <w:rFonts w:ascii="Calibri" w:cs="Calibri" w:eastAsia="Calibri" w:hAnsi="Calibri"/>
          <w:color w:val="1E293B"/>
          <w:sz w:val="22"/>
          <w:szCs w:val="22"/>
        </w:rPr>
        <w:t xml:space="preserve">Patients often struggle to convey the exact timeline, severity, and associated symptoms in clinical terminology, especially when communicating across regional languages and colloquial dialects.</w:t>
      </w:r>
    </w:p>
    <w:p>
      <w:pPr>
        <w:pStyle w:val="ListParagraph"/>
        <w:numPr>
          <w:ilvl w:val="0"/>
          <w:numId w:val="1"/>
        </w:numPr>
        <w:spacing w:after="40" w:before="40" w:line="260"/>
      </w:pPr>
      <w:r>
        <w:rPr>
          <w:rFonts w:ascii="Calibri" w:cs="Calibri" w:eastAsia="Calibri" w:hAnsi="Calibri"/>
          <w:b/>
          <w:bCs/>
          <w:color w:val="0F2942"/>
          <w:sz w:val="22"/>
          <w:szCs w:val="22"/>
        </w:rPr>
        <w:t xml:space="preserve">Fragmented Paper Records: </w:t>
      </w:r>
      <w:r>
        <w:rPr>
          <w:rFonts w:ascii="Calibri" w:cs="Calibri" w:eastAsia="Calibri" w:hAnsi="Calibri"/>
          <w:color w:val="1E293B"/>
          <w:sz w:val="22"/>
          <w:szCs w:val="22"/>
        </w:rPr>
        <w:t xml:space="preserve">Patients frequently carry physical bags of crumpled paper reports, discharge summaries, and prescriptions spanning years. Doctors lack the time to manually index and reconcile these documents during brief appointments.</w:t>
      </w:r>
    </w:p>
    <w:p>
      <w:pPr>
        <w:pStyle w:val="ListParagraph"/>
        <w:numPr>
          <w:ilvl w:val="0"/>
          <w:numId w:val="1"/>
        </w:numPr>
        <w:spacing w:after="40" w:before="40" w:line="260"/>
      </w:pPr>
      <w:r>
        <w:rPr>
          <w:rFonts w:ascii="Calibri" w:cs="Calibri" w:eastAsia="Calibri" w:hAnsi="Calibri"/>
          <w:b/>
          <w:bCs/>
          <w:color w:val="0F2942"/>
          <w:sz w:val="22"/>
          <w:szCs w:val="22"/>
        </w:rPr>
        <w:t xml:space="preserve">Unreported AYUSH Treatments: </w:t>
      </w:r>
      <w:r>
        <w:rPr>
          <w:rFonts w:ascii="Calibri" w:cs="Calibri" w:eastAsia="Calibri" w:hAnsi="Calibri"/>
          <w:color w:val="1E293B"/>
          <w:sz w:val="22"/>
          <w:szCs w:val="22"/>
        </w:rPr>
        <w:t xml:space="preserve">Millions of patients concurrently consume traditional AYUSH remedies (Ayurveda, Yoga, Unani, Siddha, Homoeopathy) alongside allopathic treatments. Patients rarely report these due to perceived stigma or haste, leading to unobserved clinical context.</w:t>
      </w:r>
    </w:p>
    <w:p>
      <w:pPr>
        <w:spacing w:after="80" w:before="60" w:line="280"/>
        <w:jc w:val="left"/>
      </w:pPr>
      <w:r>
        <w:rPr>
          <w:rFonts w:ascii="Calibri" w:cs="Calibri" w:eastAsia="Calibri" w:hAnsi="Calibri"/>
          <w:b w:val="false"/>
          <w:bCs w:val="false"/>
          <w:i w:val="false"/>
          <w:iCs w:val="false"/>
          <w:color w:val="1E293B"/>
          <w:sz w:val="22"/>
          <w:szCs w:val="22"/>
        </w:rPr>
        <w:t xml:space="preserve">HELIOS directly solves this challenge by transforming passive waiting time into an active, patient-guided clinical intake experience that delivers a verifiable, source-linked 30-second summary to the doctor before the patient even enters the room.</w:t>
      </w:r>
    </w:p>
    <w:p>
      <w:pPr>
        <w:pStyle w:val="Heading1"/>
        <w:spacing w:after="140" w:before="360"/>
      </w:pPr>
      <w:r>
        <w:rPr>
          <w:rFonts w:ascii="Calibri" w:cs="Calibri" w:eastAsia="Calibri" w:hAnsi="Calibri"/>
          <w:b/>
          <w:bCs/>
          <w:color w:val="0F2942"/>
          <w:sz w:val="32"/>
          <w:szCs w:val="32"/>
        </w:rPr>
        <w:t xml:space="preserve">2. Core System Principles &amp; Safety Boundaries</w:t>
      </w:r>
    </w:p>
    <w:p>
      <w:pPr>
        <w:spacing w:after="80" w:before="60" w:line="280"/>
        <w:jc w:val="left"/>
      </w:pPr>
      <w:r>
        <w:rPr>
          <w:rFonts w:ascii="Calibri" w:cs="Calibri" w:eastAsia="Calibri" w:hAnsi="Calibri"/>
          <w:b w:val="false"/>
          <w:bCs w:val="false"/>
          <w:i w:val="false"/>
          <w:iCs w:val="false"/>
          <w:color w:val="1E293B"/>
          <w:sz w:val="22"/>
          <w:szCs w:val="22"/>
        </w:rPr>
        <w:t xml:space="preserve">HELIOS is built strictly as a clinical intake and observation platform. It enforces rigid ethical, clinical, and data-privacy guardrails: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Principle</w:t>
            </w:r>
          </w:p>
        </w:tc>
        <w:tc>
          <w:tcPr>
            <w:tcW w:type="pct" w:w="45%"/>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System Enforcement</w:t>
            </w:r>
          </w:p>
        </w:tc>
        <w:tc>
          <w:tcPr>
            <w:tcW w:type="pct" w:w="3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Clinical &amp; Ethical Rationale</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Zero Autonomous Diagnosis</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System prompts and NLU extractors explicitly prohibit diagnostic inference. The system never outputs disease diagnoses.</w:t>
            </w:r>
          </w:p>
        </w:tc>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Prevents automated medical malpractice and preserves the physician's sole diagnostic role.</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Zero Treatment Recommendations</w:t>
            </w:r>
          </w:p>
        </w:tc>
        <w:tc>
          <w:tcPr>
            <w:tcW w:type="pct" w:w="4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No prescription generation, drug recommendations, or dosage modification algorithms exist in the system.</w:t>
            </w:r>
          </w:p>
        </w:tc>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Intake platforms must observe and organize, never prescribe.</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Non-Retention Voice Policy</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Audio data is streamed in-memory to speech transcription providers with "retained: false". Raw audio is discarded immediately.</w:t>
            </w:r>
          </w:p>
        </w:tc>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Protects biometric audio privacy and complies with healthcare confidentiality regulations.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Strict Provenance Tracking</w:t>
            </w:r>
          </w:p>
        </w:tc>
        <w:tc>
          <w:tcPr>
            <w:tcW w:type="pct" w:w="4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Every clinical fact is tagged: PATIENT_REPORTED, AI_STRUCTURED, DOCUMENT_EXTRACTED, DOCTOR_ENTERED, or DOCTOR_VERIFIED.</w:t>
            </w:r>
          </w:p>
        </w:tc>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Doctors always know the exact origin and confidence level of every statement.</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Human-in-the-Loop Authority</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AI-extracted findings are always marked as preliminary drafts until verified, corrected, or rejected by a licensed doctor.</w:t>
            </w:r>
          </w:p>
        </w:tc>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Eliminates the danger of hallucinations becoming official medical record entries.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Neutral AYUSH Integration</w:t>
            </w:r>
          </w:p>
        </w:tc>
        <w:tc>
          <w:tcPr>
            <w:tcW w:type="pct" w:w="4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AYUSH treatments are recorded neutrally without speculating on unproven efficacy or speculative herbal interactions.</w:t>
            </w:r>
          </w:p>
        </w:tc>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Provides doctors with full clinical visibility without making unverified pharmacological claims.</w:t>
            </w:r>
          </w:p>
        </w:tc>
      </w:tr>
    </w:tbl>
    <w:p>
      <w:pPr>
        <w:pStyle w:val="Heading1"/>
        <w:spacing w:after="140" w:before="360"/>
      </w:pPr>
      <w:r>
        <w:rPr>
          <w:rFonts w:ascii="Calibri" w:cs="Calibri" w:eastAsia="Calibri" w:hAnsi="Calibri"/>
          <w:b/>
          <w:bCs/>
          <w:color w:val="0F2942"/>
          <w:sz w:val="32"/>
          <w:szCs w:val="32"/>
        </w:rPr>
        <w:t xml:space="preserve">3. Monorepo Architecture &amp; Technology Stack</w:t>
      </w:r>
    </w:p>
    <w:p>
      <w:pPr>
        <w:spacing w:after="80" w:before="60" w:line="280"/>
        <w:jc w:val="left"/>
      </w:pPr>
      <w:r>
        <w:rPr>
          <w:rFonts w:ascii="Calibri" w:cs="Calibri" w:eastAsia="Calibri" w:hAnsi="Calibri"/>
          <w:b w:val="false"/>
          <w:bCs w:val="false"/>
          <w:i w:val="false"/>
          <w:iCs w:val="false"/>
          <w:color w:val="1E293B"/>
          <w:sz w:val="22"/>
          <w:szCs w:val="22"/>
        </w:rPr>
        <w:t xml:space="preserve">HELIOS is engineered as a production-grade TypeScript monorepo using pnpm workspaces, enforcing clean separation between user interface, business logic, shared contracts, and persistent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Package / Layer</w:t>
            </w:r>
          </w:p>
        </w:tc>
        <w:tc>
          <w:tcPr>
            <w:tcW w:type="pct" w:w="38%"/>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Technologies Used</w:t>
            </w:r>
          </w:p>
        </w:tc>
        <w:tc>
          <w:tcPr>
            <w:tcW w:type="pct" w:w="4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Key Responsibilities</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apps/web
(Frontend)</w:t>
            </w:r>
          </w:p>
        </w:tc>
        <w:tc>
          <w:tcPr>
            <w:tcW w:type="pct" w:w="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15, React 19, Tailwind CSS, Lucide Icons, Vitest</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Dual-portal web interface: kiosk/mobile patient flow and responsive clinical review workspace for doctors.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apps/api
(Backend)</w:t>
            </w:r>
          </w:p>
        </w:tc>
        <w:tc>
          <w:tcPr>
            <w:tcW w:type="pct" w:w="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Node.js, Express, Prisma ORM, Zod, Pino Logger, Helmet, Multer, Tesseract OCR</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REST API (/api/v1), adaptive question orchestration, OCR processing, timeline indexing, delta comparisons, and verification.</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packages/shared
(Contracts)</w:t>
            </w:r>
          </w:p>
        </w:tc>
        <w:tc>
          <w:tcPr>
            <w:tcW w:type="pct" w:w="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TypeScript, Shared Zod Schemas</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Central repository of shared DTOs, API response envelopes, enums, status codes, and the multilingual language registry.</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Database
(Persistence)</w:t>
            </w:r>
          </w:p>
        </w:tc>
        <w:tc>
          <w:tcPr>
            <w:tcW w:type="pct" w:w="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PostgreSQL, Prisma Client</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Longitudinal relational schema with strict indexes, foreign key constraints, and immutable audit logs.</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 &amp; Speech
Providers</w:t>
            </w:r>
          </w:p>
        </w:tc>
        <w:tc>
          <w:tcPr>
            <w:tcW w:type="pct" w:w="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OpenAI Whisper / Mock Speech, OpenAI GPT-4o-mini / Rule-based NLU</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Pluggable provider architecture allowing 100% offline, zero-cost deterministic mock operation or cloud LLM augmentation.</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Document AI
Engine</w:t>
            </w:r>
          </w:p>
        </w:tc>
        <w:tc>
          <w:tcPr>
            <w:tcW w:type="pct" w:w="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Tesseract.js (eng.traineddata), Sharp, PDF-Lib</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In-browser/serverless OCR, multi-page document parsing, classification, and bounding-box coordinate tracking.</w:t>
            </w:r>
          </w:p>
        </w:tc>
      </w:tr>
    </w:tbl>
    <w:p>
      <w:pPr>
        <w:pStyle w:val="Heading1"/>
        <w:spacing w:after="140" w:before="360"/>
      </w:pPr>
      <w:r>
        <w:rPr>
          <w:rFonts w:ascii="Calibri" w:cs="Calibri" w:eastAsia="Calibri" w:hAnsi="Calibri"/>
          <w:b/>
          <w:bCs/>
          <w:color w:val="0F2942"/>
          <w:sz w:val="32"/>
          <w:szCs w:val="32"/>
        </w:rPr>
        <w:t xml:space="preserve">4. Master Operational Flowchart</w:t>
      </w:r>
    </w:p>
    <w:p>
      <w:pPr>
        <w:spacing w:after="80" w:before="60" w:line="280"/>
        <w:jc w:val="left"/>
      </w:pPr>
      <w:r>
        <w:rPr>
          <w:rFonts w:ascii="Calibri" w:cs="Calibri" w:eastAsia="Calibri" w:hAnsi="Calibri"/>
          <w:b w:val="false"/>
          <w:bCs w:val="false"/>
          <w:i w:val="false"/>
          <w:iCs w:val="false"/>
          <w:color w:val="1E293B"/>
          <w:sz w:val="22"/>
          <w:szCs w:val="22"/>
        </w:rPr>
        <w:t xml:space="preserve">The diagram below illustrates the complete lifecycle of health data in HELIOS, from patient check-in at the clinic kiosk to the physician's final verification and chart sign-off:</w:t>
      </w:r>
    </w:p>
    <w:tbl>
      <w:tblPr>
        <w:tblW w:type="pct" w:w="100%"/>
        <w:tblBorders>
          <w:top w:val="single" w:color="CBD5E1" w:sz="6"/>
          <w:left w:val="single" w:color="CBD5E1" w:sz="6"/>
          <w:bottom w:val="single" w:color="CBD5E1" w:sz="6"/>
          <w:right w:val="single" w:color="CBD5E1" w:sz="6"/>
          <w:insideH w:val="single" w:color="auto" w:sz="4"/>
          <w:insideV w:val="single" w:color="auto" w:sz="4"/>
        </w:tblBorders>
      </w:tblPr>
      <w:tblGrid>
        <w:gridCol w:w="100"/>
      </w:tblGrid>
      <w:tr>
        <w:tc>
          <w:tcPr>
            <w:shd w:fill="F1F5F9" w:val="clear"/>
            <w:tcMar>
              <w:top w:type="dxa" w:w="100"/>
              <w:left w:type="dxa" w:w="140"/>
              <w:bottom w:type="dxa" w:w="100"/>
              <w:right w:type="dxa" w:w="140"/>
            </w:tcMar>
          </w:tcPr>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PATIENT INTAKE JOURNEY                                         |</w:t>
            </w:r>
          </w:p>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|--&gt; [1. Check-In &amp; Language Selection (English / Hindi)]</w:t>
            </w:r>
          </w:p>
          <w:p>
            <w:pPr>
              <w:spacing w:after="20" w:before="20" w:line="220"/>
            </w:pPr>
            <w:r>
              <w:rPr>
                <w:rFonts w:ascii="Consolas" w:cs="Consolas" w:eastAsia="Consolas" w:hAnsi="Consolas"/>
                <w:color w:val="0F172A"/>
                <w:sz w:val="18"/>
                <w:szCs w:val="18"/>
              </w:rPr>
              <w:t xml:space="preserve">   |--&gt; [2. Digital Informed Consent (Versioned Acceptance)]</w:t>
            </w:r>
          </w:p>
          <w:p>
            <w:pPr>
              <w:spacing w:after="20" w:before="20" w:line="220"/>
            </w:pPr>
            <w:r>
              <w:rPr>
                <w:rFonts w:ascii="Consolas" w:cs="Consolas" w:eastAsia="Consolas" w:hAnsi="Consolas"/>
                <w:color w:val="0F172A"/>
                <w:sz w:val="18"/>
                <w:szCs w:val="18"/>
              </w:rPr>
              <w:t xml:space="preserve">   |--&gt; [3. Demographic Information (Name, Age, Sex, Phone)]</w:t>
            </w:r>
          </w:p>
          <w:p>
            <w:pPr>
              <w:spacing w:after="20" w:before="20" w:line="220"/>
            </w:pPr>
            <w:r>
              <w:rPr>
                <w:rFonts w:ascii="Consolas" w:cs="Consolas" w:eastAsia="Consolas" w:hAnsi="Consolas"/>
                <w:color w:val="0F172A"/>
                <w:sz w:val="18"/>
                <w:szCs w:val="18"/>
              </w:rPr>
              <w:t xml:space="preserve">   |--&gt; [4. Chief Complaint Capture (Voice Recording or Typed Text)]</w:t>
            </w:r>
          </w:p>
          <w:p>
            <w:pPr>
              <w:spacing w:after="20" w:before="20" w:line="220"/>
            </w:pPr>
            <w:r>
              <w:rPr>
                <w:rFonts w:ascii="Consolas" w:cs="Consolas" w:eastAsia="Consolas" w:hAnsi="Consolas"/>
                <w:color w:val="0F172A"/>
                <w:sz w:val="18"/>
                <w:szCs w:val="18"/>
              </w:rPr>
              <w:t xml:space="preserve">   |       |--&gt; Web Audio API Amplitude -&gt; In-Memory Transcribe -&gt; Audio Discarded -&gt; Patient Confirms Text</w:t>
            </w:r>
          </w:p>
          <w:p>
            <w:pPr>
              <w:spacing w:after="20" w:before="20" w:line="220"/>
            </w:pPr>
            <w:r>
              <w:rPr>
                <w:rFonts w:ascii="Consolas" w:cs="Consolas" w:eastAsia="Consolas" w:hAnsi="Consolas"/>
                <w:color w:val="0F172A"/>
                <w:sz w:val="18"/>
                <w:szCs w:val="18"/>
              </w:rPr>
              <w:t xml:space="preserve">   |--&gt; [5. Adaptive Clinical Interview (Deterministic Graph Engine)]</w:t>
            </w:r>
          </w:p>
          <w:p>
            <w:pPr>
              <w:spacing w:after="20" w:before="20" w:line="220"/>
            </w:pPr>
            <w:r>
              <w:rPr>
                <w:rFonts w:ascii="Consolas" w:cs="Consolas" w:eastAsia="Consolas" w:hAnsi="Consolas"/>
                <w:color w:val="0F172A"/>
                <w:sz w:val="18"/>
                <w:szCs w:val="18"/>
              </w:rPr>
              <w:t xml:space="preserve">   |       |--&gt; Evaluates Complaint -&gt; Selects 1 of 6 Pathways (Abdominal Pain, Chest, Fever, etc.)</w:t>
            </w:r>
          </w:p>
          <w:p>
            <w:pPr>
              <w:spacing w:after="20" w:before="20" w:line="220"/>
            </w:pPr>
            <w:r>
              <w:rPr>
                <w:rFonts w:ascii="Consolas" w:cs="Consolas" w:eastAsia="Consolas" w:hAnsi="Consolas"/>
                <w:color w:val="0F172A"/>
                <w:sz w:val="18"/>
                <w:szCs w:val="18"/>
              </w:rPr>
              <w:t xml:space="preserve">   |       |--&gt; Dynamic Follow-Up Questions -&gt; Conflict Detection -&gt; Zod-Validated Clinical NLU</w:t>
            </w:r>
          </w:p>
          <w:p>
            <w:pPr>
              <w:spacing w:after="20" w:before="20" w:line="220"/>
            </w:pPr>
            <w:r>
              <w:rPr>
                <w:rFonts w:ascii="Consolas" w:cs="Consolas" w:eastAsia="Consolas" w:hAnsi="Consolas"/>
                <w:color w:val="0F172A"/>
                <w:sz w:val="18"/>
                <w:szCs w:val="18"/>
              </w:rPr>
              <w:t xml:space="preserve">   |       |--&gt; Neutral AYUSH Medication History Module</w:t>
            </w:r>
          </w:p>
          <w:p>
            <w:pPr>
              <w:spacing w:after="20" w:before="20" w:line="220"/>
            </w:pPr>
            <w:r>
              <w:rPr>
                <w:rFonts w:ascii="Consolas" w:cs="Consolas" w:eastAsia="Consolas" w:hAnsi="Consolas"/>
                <w:color w:val="0F172A"/>
                <w:sz w:val="18"/>
                <w:szCs w:val="18"/>
              </w:rPr>
              <w:t xml:space="preserve">   |--&gt; [6. Document Upload &amp; Intelligence (Optional)]</w:t>
            </w:r>
          </w:p>
          <w:p>
            <w:pPr>
              <w:spacing w:after="20" w:before="20" w:line="220"/>
            </w:pPr>
            <w:r>
              <w:rPr>
                <w:rFonts w:ascii="Consolas" w:cs="Consolas" w:eastAsia="Consolas" w:hAnsi="Consolas"/>
                <w:color w:val="0F172A"/>
                <w:sz w:val="18"/>
                <w:szCs w:val="18"/>
              </w:rPr>
              <w:t xml:space="preserve">   |       |--&gt; Prescription / Lab Report Upload -&gt; Tesseract OCR -&gt; Extraction -&gt; Identity Matching Gate</w:t>
            </w:r>
          </w:p>
          <w:p>
            <w:pPr>
              <w:spacing w:after="20" w:before="20" w:line="220"/>
            </w:pPr>
            <w:r>
              <w:rPr>
                <w:rFonts w:ascii="Consolas" w:cs="Consolas" w:eastAsia="Consolas" w:hAnsi="Consolas"/>
                <w:color w:val="0F172A"/>
                <w:sz w:val="18"/>
                <w:szCs w:val="18"/>
              </w:rPr>
              <w:t xml:space="preserve">   |--&gt; [7. Pre-Final Review &amp; Answer Revision]</w:t>
            </w:r>
          </w:p>
          <w:p>
            <w:pPr>
              <w:spacing w:after="20" w:before="20" w:line="220"/>
            </w:pPr>
            <w:r>
              <w:rPr>
                <w:rFonts w:ascii="Consolas" w:cs="Consolas" w:eastAsia="Consolas" w:hAnsi="Consolas"/>
                <w:color w:val="0F172A"/>
                <w:sz w:val="18"/>
                <w:szCs w:val="18"/>
              </w:rPr>
              <w:t xml:space="preserve">   |--&gt; [8. Submission &amp; Token Generation (e.g. Token #A-104)]</w:t>
            </w:r>
          </w:p>
          <w:p>
            <w:pPr>
              <w:spacing w:after="20" w:before="20" w:line="220"/>
            </w:pPr>
            <w:r>
              <w:rPr>
                <w:rFonts w:ascii="Consolas" w:cs="Consolas" w:eastAsia="Consolas" w:hAnsi="Consolas"/>
                <w:color w:val="0F172A"/>
                <w:sz w:val="18"/>
                <w:szCs w:val="18"/>
              </w:rPr>
              <w:t xml:space="preserve">                                     |</w:t>
            </w:r>
          </w:p>
          <w:p>
            <w:pPr>
              <w:spacing w:after="20" w:before="20" w:line="220"/>
            </w:pPr>
            <w:r>
              <w:rPr>
                <w:rFonts w:ascii="Consolas" w:cs="Consolas" w:eastAsia="Consolas" w:hAnsi="Consolas"/>
                <w:color w:val="0F172A"/>
                <w:sz w:val="18"/>
                <w:szCs w:val="18"/>
              </w:rPr>
              <w:t xml:space="preserve">                                     v (Persists to PostgreSQL Database)</w:t>
            </w:r>
          </w:p>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CORE CLINICAL INTELLIGENCE PIPELINE                                  |</w:t>
            </w:r>
          </w:p>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|--&gt; [Timeline Engine]: Aggregates visits, meds, labs &amp; docs into chronological, uncertainty-aware index</w:t>
            </w:r>
          </w:p>
          <w:p>
            <w:pPr>
              <w:spacing w:after="20" w:before="20" w:line="220"/>
            </w:pPr>
            <w:r>
              <w:rPr>
                <w:rFonts w:ascii="Consolas" w:cs="Consolas" w:eastAsia="Consolas" w:hAnsi="Consolas"/>
                <w:color w:val="0F172A"/>
                <w:sz w:val="18"/>
                <w:szCs w:val="18"/>
              </w:rPr>
              <w:t xml:space="preserve">   |--&gt; [Comparison Engine]: Freezes visit snapshots &amp; computes "What Changed?" field deltas</w:t>
            </w:r>
          </w:p>
          <w:p>
            <w:pPr>
              <w:spacing w:after="20" w:before="20" w:line="220"/>
            </w:pPr>
            <w:r>
              <w:rPr>
                <w:rFonts w:ascii="Consolas" w:cs="Consolas" w:eastAsia="Consolas" w:hAnsi="Consolas"/>
                <w:color w:val="0F172A"/>
                <w:sz w:val="18"/>
                <w:szCs w:val="18"/>
              </w:rPr>
              <w:t xml:space="preserve">   |--&gt; [Clinical Brief Builder]: Generates 30-second evidence-linked summary for the physician</w:t>
            </w:r>
          </w:p>
          <w:p>
            <w:pPr>
              <w:spacing w:after="20" w:before="20" w:line="220"/>
            </w:pPr>
            <w:r>
              <w:rPr>
                <w:rFonts w:ascii="Consolas" w:cs="Consolas" w:eastAsia="Consolas" w:hAnsi="Consolas"/>
                <w:color w:val="0F172A"/>
                <w:sz w:val="18"/>
                <w:szCs w:val="18"/>
              </w:rPr>
              <w:t xml:space="preserve">                                     |</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DOCTOR CLINICAL WORKSPACE                                         |</w:t>
            </w:r>
          </w:p>
          <w:p>
            <w:pPr>
              <w:spacing w:after="20" w:before="20" w:line="220"/>
            </w:pPr>
            <w:r>
              <w:rPr>
                <w:rFonts w:ascii="Consolas" w:cs="Consolas" w:eastAsia="Consolas" w:hAnsi="Consolas"/>
                <w:color w:val="0F172A"/>
                <w:sz w:val="18"/>
                <w:szCs w:val="18"/>
              </w:rPr>
              <w:t xml:space="preserve">+---------------------------------------------------------------------------------------------------------+</w:t>
            </w:r>
          </w:p>
          <w:p>
            <w:pPr>
              <w:spacing w:after="20" w:before="20" w:line="220"/>
            </w:pPr>
            <w:r>
              <w:rPr>
                <w:rFonts w:ascii="Consolas" w:cs="Consolas" w:eastAsia="Consolas" w:hAnsi="Consolas"/>
                <w:color w:val="0F172A"/>
                <w:sz w:val="18"/>
                <w:szCs w:val="18"/>
              </w:rPr>
              <w:t xml:space="preserve">   |--&gt; [1. Patient Waiting Queue &amp; Priority Badge Inspection]</w:t>
            </w:r>
          </w:p>
          <w:p>
            <w:pPr>
              <w:spacing w:after="20" w:before="20" w:line="220"/>
            </w:pPr>
            <w:r>
              <w:rPr>
                <w:rFonts w:ascii="Consolas" w:cs="Consolas" w:eastAsia="Consolas" w:hAnsi="Consolas"/>
                <w:color w:val="0F172A"/>
                <w:sz w:val="18"/>
                <w:szCs w:val="18"/>
              </w:rPr>
              <w:t xml:space="preserve">   |--&gt; [2. Rapid 30-Second Clinical Brief (Claims link back to original audio/doc evidence)]</w:t>
            </w:r>
          </w:p>
          <w:p>
            <w:pPr>
              <w:spacing w:after="20" w:before="20" w:line="220"/>
            </w:pPr>
            <w:r>
              <w:rPr>
                <w:rFonts w:ascii="Consolas" w:cs="Consolas" w:eastAsia="Consolas" w:hAnsi="Consolas"/>
                <w:color w:val="0F172A"/>
                <w:sz w:val="18"/>
                <w:szCs w:val="18"/>
              </w:rPr>
              <w:t xml:space="preserve">   |--&gt; [3. "What Changed?" Delta Workspace (New, Stopped, Changed, Conflicted findings)]</w:t>
            </w:r>
          </w:p>
          <w:p>
            <w:pPr>
              <w:spacing w:after="20" w:before="20" w:line="220"/>
            </w:pPr>
            <w:r>
              <w:rPr>
                <w:rFonts w:ascii="Consolas" w:cs="Consolas" w:eastAsia="Consolas" w:hAnsi="Consolas"/>
                <w:color w:val="0F172A"/>
                <w:sz w:val="18"/>
                <w:szCs w:val="18"/>
              </w:rPr>
              <w:t xml:space="preserve">   |--&gt; [4. Longitudinal Medical Timeline (Deep historical review)]</w:t>
            </w:r>
          </w:p>
          <w:p>
            <w:pPr>
              <w:spacing w:after="20" w:before="20" w:line="220"/>
            </w:pPr>
            <w:r>
              <w:rPr>
                <w:rFonts w:ascii="Consolas" w:cs="Consolas" w:eastAsia="Consolas" w:hAnsi="Consolas"/>
                <w:color w:val="0F172A"/>
                <w:sz w:val="18"/>
                <w:szCs w:val="18"/>
              </w:rPr>
              <w:t xml:space="preserve">   |--&gt; [5. Verification Center: Doctor executes VERIFY, CORRECT, REJECT, or MARK UNCERTAIN]</w:t>
            </w:r>
          </w:p>
          <w:p>
            <w:pPr>
              <w:spacing w:after="20" w:before="20" w:line="220"/>
            </w:pPr>
            <w:r>
              <w:rPr>
                <w:rFonts w:ascii="Consolas" w:cs="Consolas" w:eastAsia="Consolas" w:hAnsi="Consolas"/>
                <w:color w:val="0F172A"/>
                <w:sz w:val="18"/>
                <w:szCs w:val="18"/>
              </w:rPr>
              <w:t xml:space="preserve">   |--&gt; [6. Official Consultation Completed -&gt; Verified Clinical Record Sealed]</w:t>
            </w:r>
          </w:p>
          <w:p>
            <w:pPr>
              <w:spacing w:after="20" w:before="20" w:line="220"/>
            </w:pPr>
            <w:r>
              <w:rPr>
                <w:rFonts w:ascii="Consolas" w:cs="Consolas" w:eastAsia="Consolas" w:hAnsi="Consolas"/>
                <w:color w:val="0F172A"/>
                <w:sz w:val="18"/>
                <w:szCs w:val="18"/>
              </w:rPr>
              <w:t xml:space="preserve">+---------------------------------------------------------------------------------------------------------+</w:t>
            </w:r>
          </w:p>
        </w:tc>
      </w:tr>
    </w:tbl>
    <w:p>
      <w:pPr>
        <w:pStyle w:val="Heading1"/>
        <w:spacing w:after="140" w:before="360"/>
      </w:pPr>
      <w:r>
        <w:rPr>
          <w:rFonts w:ascii="Calibri" w:cs="Calibri" w:eastAsia="Calibri" w:hAnsi="Calibri"/>
          <w:b/>
          <w:bCs/>
          <w:color w:val="0F2942"/>
          <w:sz w:val="32"/>
          <w:szCs w:val="32"/>
        </w:rPr>
        <w:t xml:space="preserve">5. Deep Dive: Patient Flow &amp; Resumable Session Engine</w:t>
      </w:r>
    </w:p>
    <w:p>
      <w:pPr>
        <w:spacing w:after="80" w:before="60" w:line="280"/>
        <w:jc w:val="left"/>
      </w:pPr>
      <w:r>
        <w:rPr>
          <w:rFonts w:ascii="Calibri" w:cs="Calibri" w:eastAsia="Calibri" w:hAnsi="Calibri"/>
          <w:b w:val="false"/>
          <w:bCs w:val="false"/>
          <w:i w:val="false"/>
          <w:iCs w:val="false"/>
          <w:color w:val="1E293B"/>
          <w:sz w:val="22"/>
          <w:szCs w:val="22"/>
        </w:rPr>
        <w:t xml:space="preserve">The patient intake experience is managed by an explicit, resilient state engine implemented in PatientFlowProvider (apps/web/src/providers/patient-flow-provider.tsx) and SessionService (apps/api/src/services/patient-flow-service.ts):</w:t>
      </w:r>
    </w:p>
    <w:p>
      <w:pPr>
        <w:pStyle w:val="ListParagraph"/>
        <w:numPr>
          <w:ilvl w:val="0"/>
          <w:numId w:val="1"/>
        </w:numPr>
        <w:spacing w:after="40" w:before="40" w:line="260"/>
      </w:pPr>
      <w:r>
        <w:rPr>
          <w:rFonts w:ascii="Calibri" w:cs="Calibri" w:eastAsia="Calibri" w:hAnsi="Calibri"/>
          <w:b/>
          <w:bCs/>
          <w:color w:val="0F2942"/>
          <w:sz w:val="22"/>
          <w:szCs w:val="22"/>
        </w:rPr>
        <w:t xml:space="preserve">Cryptographic Session Proof: </w:t>
      </w:r>
      <w:r>
        <w:rPr>
          <w:rFonts w:ascii="Calibri" w:cs="Calibri" w:eastAsia="Calibri" w:hAnsi="Calibri"/>
          <w:color w:val="1E293B"/>
          <w:sz w:val="22"/>
          <w:szCs w:val="22"/>
        </w:rPr>
        <w:t xml:space="preserve">When a session begins, the backend issues an HMAC-signed session proof token (SessionProofService). All subsequent API requests require this token to prevent unauthorized tampering across concurrent kiosk users.</w:t>
      </w:r>
    </w:p>
    <w:p>
      <w:pPr>
        <w:pStyle w:val="ListParagraph"/>
        <w:numPr>
          <w:ilvl w:val="0"/>
          <w:numId w:val="1"/>
        </w:numPr>
        <w:spacing w:after="40" w:before="40" w:line="260"/>
      </w:pPr>
      <w:r>
        <w:rPr>
          <w:rFonts w:ascii="Calibri" w:cs="Calibri" w:eastAsia="Calibri" w:hAnsi="Calibri"/>
          <w:b/>
          <w:bCs/>
          <w:color w:val="0F2942"/>
          <w:sz w:val="22"/>
          <w:szCs w:val="22"/>
        </w:rPr>
        <w:t xml:space="preserve">Three-Tier Storage Architecture: </w:t>
      </w:r>
      <w:r>
        <w:rPr>
          <w:rFonts w:ascii="Calibri" w:cs="Calibri" w:eastAsia="Calibri" w:hAnsi="Calibri"/>
          <w:color w:val="1E293B"/>
          <w:sz w:val="22"/>
          <w:szCs w:val="22"/>
        </w:rPr>
        <w:t xml:space="preserve">1) LocalStorage: Stores only opaque session IDs, step indicator, and active language.
2) SessionStorage: Stores temporary uncommitted form keystrokes and slider values.
3) PostgreSQL: Authoritative clinical state, confirmed interview answers, and consent records.</w:t>
      </w:r>
    </w:p>
    <w:p>
      <w:pPr>
        <w:pStyle w:val="ListParagraph"/>
        <w:numPr>
          <w:ilvl w:val="0"/>
          <w:numId w:val="1"/>
        </w:numPr>
        <w:spacing w:after="40" w:before="40" w:line="260"/>
      </w:pPr>
      <w:r>
        <w:rPr>
          <w:rFonts w:ascii="Calibri" w:cs="Calibri" w:eastAsia="Calibri" w:hAnsi="Calibri"/>
          <w:b/>
          <w:bCs/>
          <w:color w:val="0F2942"/>
          <w:sz w:val="22"/>
          <w:szCs w:val="22"/>
        </w:rPr>
        <w:t xml:space="preserve">Seamless Session Recovery: </w:t>
      </w:r>
      <w:r>
        <w:rPr>
          <w:rFonts w:ascii="Calibri" w:cs="Calibri" w:eastAsia="Calibri" w:hAnsi="Calibri"/>
          <w:color w:val="1E293B"/>
          <w:sz w:val="22"/>
          <w:szCs w:val="22"/>
        </w:rPr>
        <w:t xml:space="preserve">If a kiosk browser accidentally refreshes, experiences a network blip, or loses power, the patient can click "Resume Session". HELIOS queries the API for the last confirmed question and returns the patient exactly where they left off.</w:t>
      </w:r>
    </w:p>
    <w:p>
      <w:pPr>
        <w:pStyle w:val="ListParagraph"/>
        <w:numPr>
          <w:ilvl w:val="0"/>
          <w:numId w:val="1"/>
        </w:numPr>
        <w:spacing w:after="40" w:before="40" w:line="260"/>
      </w:pPr>
      <w:r>
        <w:rPr>
          <w:rFonts w:ascii="Calibri" w:cs="Calibri" w:eastAsia="Calibri" w:hAnsi="Calibri"/>
          <w:b/>
          <w:bCs/>
          <w:color w:val="0F2942"/>
          <w:sz w:val="22"/>
          <w:szCs w:val="22"/>
        </w:rPr>
        <w:t xml:space="preserve">Step Progression Order: </w:t>
      </w:r>
      <w:r>
        <w:rPr>
          <w:rFonts w:ascii="Calibri" w:cs="Calibri" w:eastAsia="Calibri" w:hAnsi="Calibri"/>
          <w:color w:val="1E293B"/>
          <w:sz w:val="22"/>
          <w:szCs w:val="22"/>
        </w:rPr>
        <w:t xml:space="preserve">WELCOME -&gt; LANGUAGE -&gt; CONSENT -&gt; BASIC_INFO -&gt; CHIEF_COMPLAINT -&gt; INTERVIEW -&gt; DOCUMENTS -&gt; REVIEW -&gt; COMPLETE.</w:t>
      </w:r>
    </w:p>
    <w:p>
      <w:pPr>
        <w:pStyle w:val="Heading1"/>
        <w:spacing w:after="140" w:before="360"/>
      </w:pPr>
      <w:r>
        <w:rPr>
          <w:rFonts w:ascii="Calibri" w:cs="Calibri" w:eastAsia="Calibri" w:hAnsi="Calibri"/>
          <w:b/>
          <w:bCs/>
          <w:color w:val="0F2942"/>
          <w:sz w:val="32"/>
          <w:szCs w:val="32"/>
        </w:rPr>
        <w:t xml:space="preserve">6. Deep Dive: Audio &amp; Voice Processing Pipeline</w:t>
      </w:r>
    </w:p>
    <w:p>
      <w:pPr>
        <w:spacing w:after="80" w:before="60" w:line="280"/>
        <w:jc w:val="left"/>
      </w:pPr>
      <w:r>
        <w:rPr>
          <w:rFonts w:ascii="Calibri" w:cs="Calibri" w:eastAsia="Calibri" w:hAnsi="Calibri"/>
          <w:b w:val="false"/>
          <w:bCs w:val="false"/>
          <w:i w:val="false"/>
          <w:iCs w:val="false"/>
          <w:color w:val="1E293B"/>
          <w:sz w:val="22"/>
          <w:szCs w:val="22"/>
        </w:rPr>
        <w:t xml:space="preserve">To accommodate patients with varying literacy levels, HELIOS allows natural spoken input in Hindi and English. The voice pipeline balances accessibility with strict privacy standards:</w:t>
      </w:r>
    </w:p>
    <w:tbl>
      <w:tblPr>
        <w:tblW w:type="pct" w:w="100%"/>
        <w:tblBorders>
          <w:top w:val="single" w:color="CBD5E1" w:sz="6"/>
          <w:left w:val="single" w:color="CBD5E1" w:sz="6"/>
          <w:bottom w:val="single" w:color="CBD5E1" w:sz="6"/>
          <w:right w:val="single" w:color="CBD5E1" w:sz="6"/>
          <w:insideH w:val="single" w:color="auto" w:sz="4"/>
          <w:insideV w:val="single" w:color="auto" w:sz="4"/>
        </w:tblBorders>
      </w:tblPr>
      <w:tblGrid>
        <w:gridCol w:w="100"/>
      </w:tblGrid>
      <w:tr>
        <w:tc>
          <w:tcPr>
            <w:shd w:fill="F1F5F9" w:val="clear"/>
            <w:tcMar>
              <w:top w:type="dxa" w:w="100"/>
              <w:left w:type="dxa" w:w="140"/>
              <w:bottom w:type="dxa" w:w="100"/>
              <w:right w:type="dxa" w:w="140"/>
            </w:tcMar>
          </w:tcPr>
          <w:p>
            <w:pPr>
              <w:spacing w:after="20" w:before="20" w:line="220"/>
            </w:pPr>
            <w:r>
              <w:rPr>
                <w:rFonts w:ascii="Consolas" w:cs="Consolas" w:eastAsia="Consolas" w:hAnsi="Consolas"/>
                <w:color w:val="0F172A"/>
                <w:sz w:val="18"/>
                <w:szCs w:val="18"/>
              </w:rPr>
              <w:t xml:space="preserve">[Patient Microphone]</w:t>
            </w:r>
          </w:p>
          <w:p>
            <w:pPr>
              <w:spacing w:after="20" w:before="20" w:line="220"/>
            </w:pPr>
            <w:r>
              <w:rPr>
                <w:rFonts w:ascii="Consolas" w:cs="Consolas" w:eastAsia="Consolas" w:hAnsi="Consolas"/>
                <w:color w:val="0F172A"/>
                <w:sz w:val="18"/>
                <w:szCs w:val="18"/>
              </w:rPr>
              <w:t xml:space="preserve">        | (1) Web Audio API captures audio buffer &amp; computes real-time RMS amplitude for UI wave)</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[MediaRecorder Capture (Browser)]</w:t>
            </w:r>
          </w:p>
          <w:p>
            <w:pPr>
              <w:spacing w:after="20" w:before="20" w:line="220"/>
            </w:pPr>
            <w:r>
              <w:rPr>
                <w:rFonts w:ascii="Consolas" w:cs="Consolas" w:eastAsia="Consolas" w:hAnsi="Consolas"/>
                <w:color w:val="0F172A"/>
                <w:sz w:val="18"/>
                <w:szCs w:val="18"/>
              </w:rPr>
              <w:t xml:space="preserve">        | (2) Bounded Multipart Upload (Max 120s, Max 10MB, Declared audio/webm or audio/wav)</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[API Voice Controller &amp; Upload Middleware]</w:t>
            </w:r>
          </w:p>
          <w:p>
            <w:pPr>
              <w:spacing w:after="20" w:before="20" w:line="220"/>
            </w:pPr>
            <w:r>
              <w:rPr>
                <w:rFonts w:ascii="Consolas" w:cs="Consolas" w:eastAsia="Consolas" w:hAnsi="Consolas"/>
                <w:color w:val="0F172A"/>
                <w:sz w:val="18"/>
                <w:szCs w:val="18"/>
              </w:rPr>
              <w:t xml:space="preserve">        | (3) Validates Session Proof &amp; verifies magic bytes (RIFF/WAV, WebM, OGG signatures)</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[VoiceService (In-Memory Processing)]</w:t>
            </w:r>
          </w:p>
          <w:p>
            <w:pPr>
              <w:spacing w:after="20" w:before="20" w:line="220"/>
            </w:pPr>
            <w:r>
              <w:rPr>
                <w:rFonts w:ascii="Consolas" w:cs="Consolas" w:eastAsia="Consolas" w:hAnsi="Consolas"/>
                <w:color w:val="0F172A"/>
                <w:sz w:val="18"/>
                <w:szCs w:val="18"/>
              </w:rPr>
              <w:t xml:space="preserve">        | (4) Creates VoiceInteraction record with "retained: false"</w:t>
            </w:r>
          </w:p>
          <w:p>
            <w:pPr>
              <w:spacing w:after="20" w:before="20" w:line="220"/>
            </w:pPr>
            <w:r>
              <w:rPr>
                <w:rFonts w:ascii="Consolas" w:cs="Consolas" w:eastAsia="Consolas" w:hAnsi="Consolas"/>
                <w:color w:val="0F172A"/>
                <w:sz w:val="18"/>
                <w:szCs w:val="18"/>
              </w:rPr>
              <w:t xml:space="preserve">        | (5) Sends buffer stream to SpeechProvider (OpenAI Whisper or MockSpeechProvider)</w:t>
            </w:r>
          </w:p>
          <w:p>
            <w:pPr>
              <w:spacing w:after="20" w:before="20" w:line="220"/>
            </w:pPr>
            <w:r>
              <w:rPr>
                <w:rFonts w:ascii="Consolas" w:cs="Consolas" w:eastAsia="Consolas" w:hAnsi="Consolas"/>
                <w:color w:val="0F172A"/>
                <w:sz w:val="18"/>
                <w:szCs w:val="18"/>
              </w:rPr>
              <w:t xml:space="preserve">        | (6) Buffer is deleted immediately from memory after transcription</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[Transcript Normalization &amp; Language Parity Check]</w:t>
            </w:r>
          </w:p>
          <w:p>
            <w:pPr>
              <w:spacing w:after="20" w:before="20" w:line="220"/>
            </w:pPr>
            <w:r>
              <w:rPr>
                <w:rFonts w:ascii="Consolas" w:cs="Consolas" w:eastAsia="Consolas" w:hAnsi="Consolas"/>
                <w:color w:val="0F172A"/>
                <w:sz w:val="18"/>
                <w:szCs w:val="18"/>
              </w:rPr>
              <w:t xml:space="preserve">        | (7) Detects primary language (en/hi) &amp; stores originalTranscript in PostgreSQL</w:t>
            </w:r>
          </w:p>
          <w:p>
            <w:pPr>
              <w:spacing w:after="20" w:before="20" w:line="220"/>
            </w:pPr>
            <w:r>
              <w:rPr>
                <w:rFonts w:ascii="Consolas" w:cs="Consolas" w:eastAsia="Consolas" w:hAnsi="Consolas"/>
                <w:color w:val="0F172A"/>
                <w:sz w:val="18"/>
                <w:szCs w:val="18"/>
              </w:rPr>
              <w:t xml:space="preserve">        v</w:t>
            </w:r>
          </w:p>
          <w:p>
            <w:pPr>
              <w:spacing w:after="20" w:before="20" w:line="220"/>
            </w:pPr>
            <w:r>
              <w:rPr>
                <w:rFonts w:ascii="Consolas" w:cs="Consolas" w:eastAsia="Consolas" w:hAnsi="Consolas"/>
                <w:color w:val="0F172A"/>
                <w:sz w:val="18"/>
                <w:szCs w:val="18"/>
              </w:rPr>
              <w:t xml:space="preserve">[Patient Confirmation Modal]</w:t>
            </w:r>
          </w:p>
          <w:p>
            <w:pPr>
              <w:spacing w:after="20" w:before="20" w:line="220"/>
            </w:pPr>
            <w:r>
              <w:rPr>
                <w:rFonts w:ascii="Consolas" w:cs="Consolas" w:eastAsia="Consolas" w:hAnsi="Consolas"/>
                <w:color w:val="0F172A"/>
                <w:sz w:val="18"/>
                <w:szCs w:val="18"/>
              </w:rPr>
              <w:t xml:space="preserve">        |--&gt; (Option A) Patient accepts transcript -&gt; Marks status: CONFIRMED</w:t>
            </w:r>
          </w:p>
          <w:p>
            <w:pPr>
              <w:spacing w:after="20" w:before="20" w:line="220"/>
            </w:pPr>
            <w:r>
              <w:rPr>
                <w:rFonts w:ascii="Consolas" w:cs="Consolas" w:eastAsia="Consolas" w:hAnsi="Consolas"/>
                <w:color w:val="0F172A"/>
                <w:sz w:val="18"/>
                <w:szCs w:val="18"/>
              </w:rPr>
              <w:t xml:space="preserve">        |--&gt; (Option B) Patient edits misheard words -&gt; Saves patientEditedTranscript -&gt; CONFIRMED</w:t>
            </w:r>
          </w:p>
        </w:tc>
      </w:tr>
    </w:tbl>
    <w:p>
      <w:pPr>
        <w:spacing w:after="80" w:before="60" w:line="280"/>
        <w:jc w:val="left"/>
      </w:pPr>
      <w:r>
        <w:rPr>
          <w:rFonts w:ascii="Calibri" w:cs="Calibri" w:eastAsia="Calibri" w:hAnsi="Calibri"/>
          <w:b w:val="false"/>
          <w:bCs w:val="false"/>
          <w:i w:val="false"/>
          <w:iCs w:val="false"/>
          <w:color w:val="1E293B"/>
          <w:sz w:val="22"/>
          <w:szCs w:val="22"/>
        </w:rPr>
        <w:t xml:space="preserve">Critical Architectural Feature: The database schema explicitly separates originalTranscript, normalizedTranscript, patientEditedTranscript, and acceptedTranscript in the VoiceInteraction table. This creates a transparent audit trail of what was originally detected versus what the patient corrected.</w:t>
      </w:r>
    </w:p>
    <w:p>
      <w:pPr>
        <w:pStyle w:val="Heading1"/>
        <w:spacing w:after="140" w:before="360"/>
      </w:pPr>
      <w:r>
        <w:rPr>
          <w:rFonts w:ascii="Calibri" w:cs="Calibri" w:eastAsia="Calibri" w:hAnsi="Calibri"/>
          <w:b/>
          <w:bCs/>
          <w:color w:val="0F2942"/>
          <w:sz w:val="32"/>
          <w:szCs w:val="32"/>
        </w:rPr>
        <w:t xml:space="preserve">7. Deep Dive: Adaptive Clinical Interview Engine</w:t>
      </w:r>
    </w:p>
    <w:p>
      <w:pPr>
        <w:spacing w:after="80" w:before="60" w:line="280"/>
        <w:jc w:val="left"/>
      </w:pPr>
      <w:r>
        <w:rPr>
          <w:rFonts w:ascii="Calibri" w:cs="Calibri" w:eastAsia="Calibri" w:hAnsi="Calibri"/>
          <w:b w:val="false"/>
          <w:bCs w:val="false"/>
          <w:i w:val="false"/>
          <w:iCs w:val="false"/>
          <w:color w:val="1E293B"/>
          <w:sz w:val="22"/>
          <w:szCs w:val="22"/>
        </w:rPr>
        <w:t xml:space="preserve">Unlike unconstrained chat bots that can hallucinate questions or drift off topic, HELIOS utilizes a Deterministic Graph Engine (apps/api/src/interview/interview-engine.ts) paired with a Zod-validated Clinical NLU layer (apps/api/src/interview/clinical-nlu.ts):</w:t>
      </w:r>
    </w:p>
    <w:p>
      <w:pPr>
        <w:pStyle w:val="Heading2"/>
        <w:spacing w:after="100" w:before="260"/>
      </w:pPr>
      <w:r>
        <w:rPr>
          <w:rFonts w:ascii="Calibri" w:cs="Calibri" w:eastAsia="Calibri" w:hAnsi="Calibri"/>
          <w:b/>
          <w:bCs/>
          <w:color w:val="0D9488"/>
          <w:sz w:val="26"/>
          <w:szCs w:val="26"/>
        </w:rPr>
        <w:t xml:space="preserve">The 6 Clinical Pathways</w:t>
      </w:r>
    </w:p>
    <w:p>
      <w:pPr>
        <w:spacing w:after="80" w:before="60" w:line="280"/>
        <w:jc w:val="left"/>
      </w:pPr>
      <w:r>
        <w:rPr>
          <w:rFonts w:ascii="Calibri" w:cs="Calibri" w:eastAsia="Calibri" w:hAnsi="Calibri"/>
          <w:b w:val="false"/>
          <w:bCs w:val="false"/>
          <w:i w:val="false"/>
          <w:iCs w:val="false"/>
          <w:color w:val="1E293B"/>
          <w:sz w:val="22"/>
          <w:szCs w:val="22"/>
        </w:rPr>
        <w:t xml:space="preserve">When the chief complaint is captured, the engine automatically classifies it into one of six evidence-based pathways: Abdominal Pain, Chest Discomfort, Headache, Fever, Cough/Breathing, or General Pain.</w:t>
      </w:r>
    </w:p>
    <w:p>
      <w:pPr>
        <w:pStyle w:val="Heading2"/>
        <w:spacing w:after="100" w:before="260"/>
      </w:pPr>
      <w:r>
        <w:rPr>
          <w:rFonts w:ascii="Calibri" w:cs="Calibri" w:eastAsia="Calibri" w:hAnsi="Calibri"/>
          <w:b/>
          <w:bCs/>
          <w:color w:val="0D9488"/>
          <w:sz w:val="26"/>
          <w:szCs w:val="26"/>
        </w:rPr>
        <w:t xml:space="preserve">The Question Graph &amp; Priority Sequencing</w:t>
      </w:r>
    </w:p>
    <w:p>
      <w:pPr>
        <w:spacing w:after="80" w:before="60" w:line="280"/>
        <w:jc w:val="left"/>
      </w:pPr>
      <w:r>
        <w:rPr>
          <w:rFonts w:ascii="Calibri" w:cs="Calibri" w:eastAsia="Calibri" w:hAnsi="Calibri"/>
          <w:b w:val="false"/>
          <w:bCs w:val="false"/>
          <w:i w:val="false"/>
          <w:iCs w:val="false"/>
          <w:color w:val="1E293B"/>
          <w:sz w:val="22"/>
          <w:szCs w:val="22"/>
        </w:rPr>
        <w:t xml:space="preserve">Each pathway contains prioritized question nodes covering the standard medical "History of Present Illness" (HPI): Location, Duration, Severity (0-10 slider), Character, and Associated Symptoms. Questions support rich input types: SLIDER, DURATION, CHOICE, MULTI_SELECT, YES_NO, and DATE.</w:t>
      </w:r>
    </w:p>
    <w:p>
      <w:pPr>
        <w:pStyle w:val="Heading2"/>
        <w:spacing w:after="100" w:before="260"/>
      </w:pPr>
      <w:r>
        <w:rPr>
          <w:rFonts w:ascii="Calibri" w:cs="Calibri" w:eastAsia="Calibri" w:hAnsi="Calibri"/>
          <w:b/>
          <w:bCs/>
          <w:color w:val="0D9488"/>
          <w:sz w:val="26"/>
          <w:szCs w:val="26"/>
        </w:rPr>
        <w:t xml:space="preserve">Conflict Detection &amp; Clarification Loops</w:t>
      </w:r>
    </w:p>
    <w:p>
      <w:pPr>
        <w:spacing w:after="80" w:before="60" w:line="280"/>
        <w:jc w:val="left"/>
      </w:pPr>
      <w:r>
        <w:rPr>
          <w:rFonts w:ascii="Calibri" w:cs="Calibri" w:eastAsia="Calibri" w:hAnsi="Calibri"/>
          <w:b w:val="false"/>
          <w:bCs w:val="false"/>
          <w:i w:val="false"/>
          <w:iCs w:val="false"/>
          <w:color w:val="1E293B"/>
          <w:sz w:val="22"/>
          <w:szCs w:val="22"/>
        </w:rPr>
        <w:t xml:space="preserve">If a patient provides conflicting answers (e.g. earlier stating "pain started today" but later selecting "duration: about a month"), the engine flags CONFLICT and dynamically routes to a targeted clarification node (e.g. clarify.duration) to resolve the ambiguity before proceeding.</w:t>
      </w:r>
    </w:p>
    <w:p>
      <w:pPr>
        <w:pStyle w:val="Heading2"/>
        <w:spacing w:after="100" w:before="260"/>
      </w:pPr>
      <w:r>
        <w:rPr>
          <w:rFonts w:ascii="Calibri" w:cs="Calibri" w:eastAsia="Calibri" w:hAnsi="Calibri"/>
          <w:b/>
          <w:bCs/>
          <w:color w:val="0D9488"/>
          <w:sz w:val="26"/>
          <w:szCs w:val="26"/>
        </w:rPr>
        <w:t xml:space="preserve">Fail-Safe Clinical NLU Architecture</w:t>
      </w:r>
    </w:p>
    <w:p>
      <w:pPr>
        <w:spacing w:after="80" w:before="60" w:line="280"/>
        <w:jc w:val="left"/>
      </w:pPr>
      <w:r>
        <w:rPr>
          <w:rFonts w:ascii="Calibri" w:cs="Calibri" w:eastAsia="Calibri" w:hAnsi="Calibri"/>
          <w:b w:val="false"/>
          <w:bCs w:val="false"/>
          <w:i w:val="false"/>
          <w:iCs w:val="false"/>
          <w:color w:val="1E293B"/>
          <w:sz w:val="22"/>
          <w:szCs w:val="22"/>
        </w:rPr>
        <w:t xml:space="preserve">When an AI model is used to extract clinical fields from free text, the response must match the clinicalExtractionSchema via Zod. If the AI hallucinates, times out, or fails schema validation, HELIOS performs one constrained retry. If that fails, it instantly falls back to deterministic rule-based parsing. The interview flow never crashes.</w:t>
      </w:r>
    </w:p>
    <w:p>
      <w:pPr>
        <w:pStyle w:val="Heading1"/>
        <w:spacing w:after="140" w:before="360"/>
      </w:pPr>
      <w:r>
        <w:rPr>
          <w:rFonts w:ascii="Calibri" w:cs="Calibri" w:eastAsia="Calibri" w:hAnsi="Calibri"/>
          <w:b/>
          <w:bCs/>
          <w:color w:val="0F2942"/>
          <w:sz w:val="32"/>
          <w:szCs w:val="32"/>
        </w:rPr>
        <w:t xml:space="preserve">8. Deep Dive: Document AI &amp; Extraction Engine</w:t>
      </w:r>
    </w:p>
    <w:p>
      <w:pPr>
        <w:spacing w:after="80" w:before="60" w:line="280"/>
        <w:jc w:val="left"/>
      </w:pPr>
      <w:r>
        <w:rPr>
          <w:rFonts w:ascii="Calibri" w:cs="Calibri" w:eastAsia="Calibri" w:hAnsi="Calibri"/>
          <w:b w:val="false"/>
          <w:bCs w:val="false"/>
          <w:i w:val="false"/>
          <w:iCs w:val="false"/>
          <w:color w:val="1E293B"/>
          <w:sz w:val="22"/>
          <w:szCs w:val="22"/>
        </w:rPr>
        <w:t xml:space="preserve">Patients often present past medical records. The Document AI engine (apps/api/src/services/document-service.ts) extracts structured clinical facts while preserving strict evidence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Pipeline Stage</w:t>
            </w:r>
          </w:p>
        </w:tc>
        <w:tc>
          <w:tcPr>
            <w:tcW w:type="pct" w:w="4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Technical Mechanism</w:t>
            </w:r>
          </w:p>
        </w:tc>
        <w:tc>
          <w:tcPr>
            <w:tcW w:type="pct" w:w="4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Output &amp; Behavior</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 Ingestion &amp; Validation</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MIME sniffing and SHA-256 cryptographic hashing.</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Blocks corrupt files. Prevents duplicate uploads for the same patient (HTTP 409).</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2. OCR Processing</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Tesseract OCR engine (local eng.traineddata) or mock provider.</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Extracts raw text per page with bounding box coordinates and image dimensions.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3. Layout &amp; Classification</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DocumentClassifier rule and heuristic engine.</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Categorizes document: PRESCRIPTION, LAB_REPORT, DISCHARGE_SUMMARY, or CONSULTATION_NOTE.</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4. Structured Fact Extraction</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DocumentUnderstandingProvider parses medications, dosages, and lab tests.</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Produces typed DocumentFact records linked to source text and bounding boxes.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 Identity Verification Gate</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Fuzzy string matching compares extracted patient name with session profile name.</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If mismatched, tags document as IDENTITY_MISMATCH and isolates it from the active medical record until manually overridden.</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6. Patient Fact Review</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Web UI displays extracted facts for patient verification.</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Patient can confirm, edit, or reject extracted facts before projection.</w:t>
            </w:r>
          </w:p>
        </w:tc>
      </w:tr>
    </w:tbl>
    <w:p>
      <w:pPr>
        <w:pStyle w:val="Heading1"/>
        <w:spacing w:after="140" w:before="360"/>
      </w:pPr>
      <w:r>
        <w:rPr>
          <w:rFonts w:ascii="Calibri" w:cs="Calibri" w:eastAsia="Calibri" w:hAnsi="Calibri"/>
          <w:b/>
          <w:bCs/>
          <w:color w:val="0F2942"/>
          <w:sz w:val="32"/>
          <w:szCs w:val="32"/>
        </w:rPr>
        <w:t xml:space="preserve">9. Deep Dive: Longitudinal Timeline Engine</w:t>
      </w:r>
    </w:p>
    <w:p>
      <w:pPr>
        <w:spacing w:after="80" w:before="60" w:line="280"/>
        <w:jc w:val="left"/>
      </w:pPr>
      <w:r>
        <w:rPr>
          <w:rFonts w:ascii="Calibri" w:cs="Calibri" w:eastAsia="Calibri" w:hAnsi="Calibri"/>
          <w:b w:val="false"/>
          <w:bCs w:val="false"/>
          <w:i w:val="false"/>
          <w:iCs w:val="false"/>
          <w:color w:val="1E293B"/>
          <w:sz w:val="22"/>
          <w:szCs w:val="22"/>
        </w:rPr>
        <w:t xml:space="preserve">The Timeline Engine (apps/api/src/timeline/timeline-service.ts) projects all clinical events across visits, symptom reports, uploaded lab tests, and doctor verifications into a single, unified chronological index:</w:t>
      </w:r>
    </w:p>
    <w:p>
      <w:pPr>
        <w:pStyle w:val="ListParagraph"/>
        <w:numPr>
          <w:ilvl w:val="0"/>
          <w:numId w:val="1"/>
        </w:numPr>
        <w:spacing w:after="40" w:before="40" w:line="260"/>
      </w:pPr>
      <w:r>
        <w:rPr>
          <w:rFonts w:ascii="Calibri" w:cs="Calibri" w:eastAsia="Calibri" w:hAnsi="Calibri"/>
          <w:b/>
          <w:bCs/>
          <w:color w:val="0F2942"/>
          <w:sz w:val="22"/>
          <w:szCs w:val="22"/>
        </w:rPr>
        <w:t xml:space="preserve">Projection vs. Authoritative Record: </w:t>
      </w:r>
      <w:r>
        <w:rPr>
          <w:rFonts w:ascii="Calibri" w:cs="Calibri" w:eastAsia="Calibri" w:hAnsi="Calibri"/>
          <w:color w:val="1E293B"/>
          <w:sz w:val="22"/>
          <w:szCs w:val="22"/>
        </w:rPr>
        <w:t xml:space="preserve">TimelineEvent is an indexed projection, never the primary record. It can be fully re-indexed at any time via the rebuild endpoint without loss of clinical fidelity.</w:t>
      </w:r>
    </w:p>
    <w:p>
      <w:pPr>
        <w:pStyle w:val="ListParagraph"/>
        <w:numPr>
          <w:ilvl w:val="0"/>
          <w:numId w:val="1"/>
        </w:numPr>
        <w:spacing w:after="40" w:before="40" w:line="260"/>
      </w:pPr>
      <w:r>
        <w:rPr>
          <w:rFonts w:ascii="Calibri" w:cs="Calibri" w:eastAsia="Calibri" w:hAnsi="Calibri"/>
          <w:b/>
          <w:bCs/>
          <w:color w:val="0F2942"/>
          <w:sz w:val="22"/>
          <w:szCs w:val="22"/>
        </w:rPr>
        <w:t xml:space="preserve">Temporal Precision Modeling: </w:t>
      </w:r>
      <w:r>
        <w:rPr>
          <w:rFonts w:ascii="Calibri" w:cs="Calibri" w:eastAsia="Calibri" w:hAnsi="Calibri"/>
          <w:color w:val="1E293B"/>
          <w:sz w:val="22"/>
          <w:szCs w:val="22"/>
        </w:rPr>
        <w:t xml:space="preserve">Medical memories are often imprecise. HELIOS models 5 levels of temporal certainty: EXACT_DATE, MONTH_ONLY, YEAR_ONLY, DATE_RANGE, and UNKNOWN. Events with unknown dates are cleanly sorted to the end of the timeline.</w:t>
      </w:r>
    </w:p>
    <w:p>
      <w:pPr>
        <w:pStyle w:val="ListParagraph"/>
        <w:numPr>
          <w:ilvl w:val="0"/>
          <w:numId w:val="1"/>
        </w:numPr>
        <w:spacing w:after="40" w:before="40" w:line="260"/>
      </w:pPr>
      <w:r>
        <w:rPr>
          <w:rFonts w:ascii="Calibri" w:cs="Calibri" w:eastAsia="Calibri" w:hAnsi="Calibri"/>
          <w:b/>
          <w:bCs/>
          <w:color w:val="0F2942"/>
          <w:sz w:val="22"/>
          <w:szCs w:val="22"/>
        </w:rPr>
        <w:t xml:space="preserve">Deterministic Fingerprinting &amp; Deduplication: </w:t>
      </w:r>
      <w:r>
        <w:rPr>
          <w:rFonts w:ascii="Calibri" w:cs="Calibri" w:eastAsia="Calibri" w:hAnsi="Calibri"/>
          <w:color w:val="1E293B"/>
          <w:sz w:val="22"/>
          <w:szCs w:val="22"/>
        </w:rPr>
        <w:t xml:space="preserve">Every projected event receives a deterministic SHA-256 fingerprint based on patient ID, event type, normalized key, and source. Identical facts reported across multiple visits are grouped rather than duplicated.</w:t>
      </w:r>
    </w:p>
    <w:p>
      <w:pPr>
        <w:pStyle w:val="ListParagraph"/>
        <w:numPr>
          <w:ilvl w:val="0"/>
          <w:numId w:val="1"/>
        </w:numPr>
        <w:spacing w:after="40" w:before="40" w:line="260"/>
      </w:pPr>
      <w:r>
        <w:rPr>
          <w:rFonts w:ascii="Calibri" w:cs="Calibri" w:eastAsia="Calibri" w:hAnsi="Calibri"/>
          <w:b/>
          <w:bCs/>
          <w:color w:val="0F2942"/>
          <w:sz w:val="22"/>
          <w:szCs w:val="22"/>
        </w:rPr>
        <w:t xml:space="preserve">Conflict Tagging Without Erasure: </w:t>
      </w:r>
      <w:r>
        <w:rPr>
          <w:rFonts w:ascii="Calibri" w:cs="Calibri" w:eastAsia="Calibri" w:hAnsi="Calibri"/>
          <w:color w:val="1E293B"/>
          <w:sz w:val="22"/>
          <w:szCs w:val="22"/>
        </w:rPr>
        <w:t xml:space="preserve">If two sources report conflicting information for the same concept (e.g. different blood sugar readings from two labs on the same date), HELIOS flags a conflictKey and displays both sources side-by-side rather than overwriting either.</w:t>
      </w:r>
    </w:p>
    <w:p>
      <w:pPr>
        <w:pStyle w:val="Heading1"/>
        <w:spacing w:after="140" w:before="360"/>
      </w:pPr>
      <w:r>
        <w:rPr>
          <w:rFonts w:ascii="Calibri" w:cs="Calibri" w:eastAsia="Calibri" w:hAnsi="Calibri"/>
          <w:b/>
          <w:bCs/>
          <w:color w:val="0F2942"/>
          <w:sz w:val="32"/>
          <w:szCs w:val="32"/>
        </w:rPr>
        <w:t xml:space="preserve">10. Deep Dive: "What Changed?" Visit Comparison Engine</w:t>
      </w:r>
    </w:p>
    <w:p>
      <w:pPr>
        <w:spacing w:after="80" w:before="60" w:line="280"/>
        <w:jc w:val="left"/>
      </w:pPr>
      <w:r>
        <w:rPr>
          <w:rFonts w:ascii="Calibri" w:cs="Calibri" w:eastAsia="Calibri" w:hAnsi="Calibri"/>
          <w:b w:val="false"/>
          <w:bCs w:val="false"/>
          <w:i w:val="false"/>
          <w:iCs w:val="false"/>
          <w:color w:val="1E293B"/>
          <w:sz w:val="22"/>
          <w:szCs w:val="22"/>
        </w:rPr>
        <w:t xml:space="preserve">When evaluating a returning patient, a doctor's primary clinical question is: "What has changed since their last consultation?" The Comparison Engine (apps/api/src/comparison/comparison-service.ts) computes exact deltas between visits:</w:t>
      </w:r>
    </w:p>
    <w:p>
      <w:pPr>
        <w:pStyle w:val="ListParagraph"/>
        <w:numPr>
          <w:ilvl w:val="0"/>
          <w:numId w:val="1"/>
        </w:numPr>
        <w:spacing w:after="40" w:before="40" w:line="260"/>
      </w:pPr>
      <w:r>
        <w:rPr>
          <w:rFonts w:ascii="Calibri" w:cs="Calibri" w:eastAsia="Calibri" w:hAnsi="Calibri"/>
          <w:b/>
          <w:bCs/>
          <w:color w:val="0F2942"/>
          <w:sz w:val="22"/>
          <w:szCs w:val="22"/>
        </w:rPr>
        <w:t xml:space="preserve">Immutable Patient Snapshots: </w:t>
      </w:r>
      <w:r>
        <w:rPr>
          <w:rFonts w:ascii="Calibri" w:cs="Calibri" w:eastAsia="Calibri" w:hAnsi="Calibri"/>
          <w:color w:val="1E293B"/>
          <w:sz w:val="22"/>
          <w:szCs w:val="22"/>
        </w:rPr>
        <w:t xml:space="preserve">Before comparing, the engine builds an immutable PatientSnapshot for both visits, containing hashed clinical facts, active medications, and current symptoms.</w:t>
      </w:r>
    </w:p>
    <w:p>
      <w:pPr>
        <w:pStyle w:val="ListParagraph"/>
        <w:numPr>
          <w:ilvl w:val="0"/>
          <w:numId w:val="1"/>
        </w:numPr>
        <w:spacing w:after="40" w:before="40" w:line="260"/>
      </w:pPr>
      <w:r>
        <w:rPr>
          <w:rFonts w:ascii="Calibri" w:cs="Calibri" w:eastAsia="Calibri" w:hAnsi="Calibri"/>
          <w:b/>
          <w:bCs/>
          <w:color w:val="0F2942"/>
          <w:sz w:val="22"/>
          <w:szCs w:val="22"/>
        </w:rPr>
        <w:t xml:space="preserve">Entity Matching &amp; Delta Taxonomy: </w:t>
      </w:r>
      <w:r>
        <w:rPr>
          <w:rFonts w:ascii="Calibri" w:cs="Calibri" w:eastAsia="Calibri" w:hAnsi="Calibri"/>
          <w:color w:val="1E293B"/>
          <w:sz w:val="22"/>
          <w:szCs w:val="22"/>
        </w:rPr>
        <w:t xml:space="preserve">The engine aligns entities using clinical keys and computes field-by-field differences, tagging every concept with one of five statuses:
• NEW: A symptom or medicine that was not present in the prior visit.
• REMOVED: A prior symptom that has resolved or a discontinued medication.
• CHANGED: An altered dosage, increased pain severity (e.g. 4/10 to 8/10), or frequency shift.
• UNCHANGED: Stable chronic conditions or maintained prescriptions.
• CONFLICTED: Contradictory patient statements between visits.</w:t>
      </w:r>
    </w:p>
    <w:p>
      <w:pPr>
        <w:pStyle w:val="Heading1"/>
        <w:spacing w:after="140" w:before="360"/>
      </w:pPr>
      <w:r>
        <w:rPr>
          <w:rFonts w:ascii="Calibri" w:cs="Calibri" w:eastAsia="Calibri" w:hAnsi="Calibri"/>
          <w:b/>
          <w:bCs/>
          <w:color w:val="0F2942"/>
          <w:sz w:val="32"/>
          <w:szCs w:val="32"/>
        </w:rPr>
        <w:t xml:space="preserve">11. Deep Dive: 30-Second Clinical Brief</w:t>
      </w:r>
    </w:p>
    <w:p>
      <w:pPr>
        <w:spacing w:after="80" w:before="60" w:line="280"/>
        <w:jc w:val="left"/>
      </w:pPr>
      <w:r>
        <w:rPr>
          <w:rFonts w:ascii="Calibri" w:cs="Calibri" w:eastAsia="Calibri" w:hAnsi="Calibri"/>
          <w:b w:val="false"/>
          <w:bCs w:val="false"/>
          <w:i w:val="false"/>
          <w:iCs w:val="false"/>
          <w:color w:val="1E293B"/>
          <w:sz w:val="22"/>
          <w:szCs w:val="22"/>
        </w:rPr>
        <w:t xml:space="preserve">The Clinical Brief (apps/api/src/clinical-brief/clinical-brief-builder.ts) is the centerpiece of the physician's workspace. It synthesizes all available intake data into a scannable, high-density summary designed to be comprehended in under 30 seconds:</w:t>
      </w:r>
    </w:p>
    <w:p>
      <w:pPr>
        <w:pStyle w:val="ListParagraph"/>
        <w:numPr>
          <w:ilvl w:val="0"/>
          <w:numId w:val="1"/>
        </w:numPr>
        <w:spacing w:after="40" w:before="40" w:line="260"/>
      </w:pPr>
      <w:r>
        <w:rPr>
          <w:rFonts w:ascii="Calibri" w:cs="Calibri" w:eastAsia="Calibri" w:hAnsi="Calibri"/>
          <w:b/>
          <w:bCs/>
          <w:color w:val="0F2942"/>
          <w:sz w:val="22"/>
          <w:szCs w:val="22"/>
        </w:rPr>
        <w:t xml:space="preserve">1. Patient Snapshot: </w:t>
      </w:r>
      <w:r>
        <w:rPr>
          <w:rFonts w:ascii="Calibri" w:cs="Calibri" w:eastAsia="Calibri" w:hAnsi="Calibri"/>
          <w:color w:val="1E293B"/>
          <w:sz w:val="22"/>
          <w:szCs w:val="22"/>
        </w:rPr>
        <w:t xml:space="preserve">Demographics, age, biological sex, visit type, and primary language.</w:t>
      </w:r>
    </w:p>
    <w:p>
      <w:pPr>
        <w:pStyle w:val="ListParagraph"/>
        <w:numPr>
          <w:ilvl w:val="0"/>
          <w:numId w:val="1"/>
        </w:numPr>
        <w:spacing w:after="40" w:before="40" w:line="260"/>
      </w:pPr>
      <w:r>
        <w:rPr>
          <w:rFonts w:ascii="Calibri" w:cs="Calibri" w:eastAsia="Calibri" w:hAnsi="Calibri"/>
          <w:b/>
          <w:bCs/>
          <w:color w:val="0F2942"/>
          <w:sz w:val="22"/>
          <w:szCs w:val="22"/>
        </w:rPr>
        <w:t xml:space="preserve">2. Today's Reason &amp; Symptoms: </w:t>
      </w:r>
      <w:r>
        <w:rPr>
          <w:rFonts w:ascii="Calibri" w:cs="Calibri" w:eastAsia="Calibri" w:hAnsi="Calibri"/>
          <w:color w:val="1E293B"/>
          <w:sz w:val="22"/>
          <w:szCs w:val="22"/>
        </w:rPr>
        <w:t xml:space="preserve">Chief complaint, onset, pain location, duration, and severity score (0-10).</w:t>
      </w:r>
    </w:p>
    <w:p>
      <w:pPr>
        <w:pStyle w:val="ListParagraph"/>
        <w:numPr>
          <w:ilvl w:val="0"/>
          <w:numId w:val="1"/>
        </w:numPr>
        <w:spacing w:after="40" w:before="40" w:line="260"/>
      </w:pPr>
      <w:r>
        <w:rPr>
          <w:rFonts w:ascii="Calibri" w:cs="Calibri" w:eastAsia="Calibri" w:hAnsi="Calibri"/>
          <w:b/>
          <w:bCs/>
          <w:color w:val="0F2942"/>
          <w:sz w:val="22"/>
          <w:szCs w:val="22"/>
        </w:rPr>
        <w:t xml:space="preserve">3. What Changed (Delta): </w:t>
      </w:r>
      <w:r>
        <w:rPr>
          <w:rFonts w:ascii="Calibri" w:cs="Calibri" w:eastAsia="Calibri" w:hAnsi="Calibri"/>
          <w:color w:val="1E293B"/>
          <w:sz w:val="22"/>
          <w:szCs w:val="22"/>
        </w:rPr>
        <w:t xml:space="preserve">Immediate summary of newly reported symptoms or modified medications since prior visit.</w:t>
      </w:r>
    </w:p>
    <w:p>
      <w:pPr>
        <w:pStyle w:val="ListParagraph"/>
        <w:numPr>
          <w:ilvl w:val="0"/>
          <w:numId w:val="1"/>
        </w:numPr>
        <w:spacing w:after="40" w:before="40" w:line="260"/>
      </w:pPr>
      <w:r>
        <w:rPr>
          <w:rFonts w:ascii="Calibri" w:cs="Calibri" w:eastAsia="Calibri" w:hAnsi="Calibri"/>
          <w:b/>
          <w:bCs/>
          <w:color w:val="0F2942"/>
          <w:sz w:val="22"/>
          <w:szCs w:val="22"/>
        </w:rPr>
        <w:t xml:space="preserve">4. Current Medications &amp; Allergies: </w:t>
      </w:r>
      <w:r>
        <w:rPr>
          <w:rFonts w:ascii="Calibri" w:cs="Calibri" w:eastAsia="Calibri" w:hAnsi="Calibri"/>
          <w:color w:val="1E293B"/>
          <w:sz w:val="22"/>
          <w:szCs w:val="22"/>
        </w:rPr>
        <w:t xml:space="preserve">Consolidated list of active drugs, dosages, routes, and verified drug allergies.</w:t>
      </w:r>
    </w:p>
    <w:p>
      <w:pPr>
        <w:pStyle w:val="ListParagraph"/>
        <w:numPr>
          <w:ilvl w:val="0"/>
          <w:numId w:val="1"/>
        </w:numPr>
        <w:spacing w:after="40" w:before="40" w:line="260"/>
      </w:pPr>
      <w:r>
        <w:rPr>
          <w:rFonts w:ascii="Calibri" w:cs="Calibri" w:eastAsia="Calibri" w:hAnsi="Calibri"/>
          <w:b/>
          <w:bCs/>
          <w:color w:val="0F2942"/>
          <w:sz w:val="22"/>
          <w:szCs w:val="22"/>
        </w:rPr>
        <w:t xml:space="preserve">5. AYUSH Use Context: </w:t>
      </w:r>
      <w:r>
        <w:rPr>
          <w:rFonts w:ascii="Calibri" w:cs="Calibri" w:eastAsia="Calibri" w:hAnsi="Calibri"/>
          <w:color w:val="1E293B"/>
          <w:sz w:val="22"/>
          <w:szCs w:val="22"/>
        </w:rPr>
        <w:t xml:space="preserve">Active traditional treatments, system type, duration, and patient-reported reasons.</w:t>
      </w:r>
    </w:p>
    <w:p>
      <w:pPr>
        <w:pStyle w:val="ListParagraph"/>
        <w:numPr>
          <w:ilvl w:val="0"/>
          <w:numId w:val="1"/>
        </w:numPr>
        <w:spacing w:after="40" w:before="40" w:line="260"/>
      </w:pPr>
      <w:r>
        <w:rPr>
          <w:rFonts w:ascii="Calibri" w:cs="Calibri" w:eastAsia="Calibri" w:hAnsi="Calibri"/>
          <w:b/>
          <w:bCs/>
          <w:color w:val="0F2942"/>
          <w:sz w:val="22"/>
          <w:szCs w:val="22"/>
        </w:rPr>
        <w:t xml:space="preserve">6. Supporting Investigations: </w:t>
      </w:r>
      <w:r>
        <w:rPr>
          <w:rFonts w:ascii="Calibri" w:cs="Calibri" w:eastAsia="Calibri" w:hAnsi="Calibri"/>
          <w:color w:val="1E293B"/>
          <w:sz w:val="22"/>
          <w:szCs w:val="22"/>
        </w:rPr>
        <w:t xml:space="preserve">Extracted laboratory values (e.g. HbA1c, CBC, USG findings) from uploaded documents.</w:t>
      </w:r>
    </w:p>
    <w:p>
      <w:pPr>
        <w:pStyle w:val="ListParagraph"/>
        <w:numPr>
          <w:ilvl w:val="0"/>
          <w:numId w:val="1"/>
        </w:numPr>
        <w:spacing w:after="40" w:before="40" w:line="260"/>
      </w:pPr>
      <w:r>
        <w:rPr>
          <w:rFonts w:ascii="Calibri" w:cs="Calibri" w:eastAsia="Calibri" w:hAnsi="Calibri"/>
          <w:b/>
          <w:bCs/>
          <w:color w:val="0F2942"/>
          <w:sz w:val="22"/>
          <w:szCs w:val="22"/>
        </w:rPr>
        <w:t xml:space="preserve">7. Needs Verification Panel: </w:t>
      </w:r>
      <w:r>
        <w:rPr>
          <w:rFonts w:ascii="Calibri" w:cs="Calibri" w:eastAsia="Calibri" w:hAnsi="Calibri"/>
          <w:color w:val="1E293B"/>
          <w:sz w:val="22"/>
          <w:szCs w:val="22"/>
        </w:rPr>
        <w:t xml:space="preserve">Prominently highlights all AI-extracted or patient-reported claims awaiting physician sign-off.</w:t>
      </w:r>
    </w:p>
    <w:p>
      <w:pPr>
        <w:pStyle w:val="ListParagraph"/>
        <w:numPr>
          <w:ilvl w:val="0"/>
          <w:numId w:val="1"/>
        </w:numPr>
        <w:spacing w:after="40" w:before="40" w:line="260"/>
      </w:pPr>
      <w:r>
        <w:rPr>
          <w:rFonts w:ascii="Calibri" w:cs="Calibri" w:eastAsia="Calibri" w:hAnsi="Calibri"/>
          <w:b/>
          <w:bCs/>
          <w:color w:val="0F2942"/>
          <w:sz w:val="22"/>
          <w:szCs w:val="22"/>
        </w:rPr>
        <w:t xml:space="preserve">Traceable Claim Links: </w:t>
      </w:r>
      <w:r>
        <w:rPr>
          <w:rFonts w:ascii="Calibri" w:cs="Calibri" w:eastAsia="Calibri" w:hAnsi="Calibri"/>
          <w:color w:val="1E293B"/>
          <w:sz w:val="22"/>
          <w:szCs w:val="22"/>
        </w:rPr>
        <w:t xml:space="preserve">Every single sentence in the brief is backed by a BriefClaim database model. When the doctor clicks any claim, HELIOS displays the exact source sentence from the interview transcript or highlights the bounding box on the original uploaded document.</w:t>
      </w:r>
    </w:p>
    <w:p>
      <w:pPr>
        <w:pStyle w:val="Heading1"/>
        <w:spacing w:after="140" w:before="360"/>
      </w:pPr>
      <w:r>
        <w:rPr>
          <w:rFonts w:ascii="Calibri" w:cs="Calibri" w:eastAsia="Calibri" w:hAnsi="Calibri"/>
          <w:b/>
          <w:bCs/>
          <w:color w:val="0F2942"/>
          <w:sz w:val="32"/>
          <w:szCs w:val="32"/>
        </w:rPr>
        <w:t xml:space="preserve">12. Deep Dive: Doctor Verification Center</w:t>
      </w:r>
    </w:p>
    <w:p>
      <w:pPr>
        <w:spacing w:after="80" w:before="60" w:line="280"/>
        <w:jc w:val="left"/>
      </w:pPr>
      <w:r>
        <w:rPr>
          <w:rFonts w:ascii="Calibri" w:cs="Calibri" w:eastAsia="Calibri" w:hAnsi="Calibri"/>
          <w:b w:val="false"/>
          <w:bCs w:val="false"/>
          <w:i w:val="false"/>
          <w:iCs w:val="false"/>
          <w:color w:val="1E293B"/>
          <w:sz w:val="22"/>
          <w:szCs w:val="22"/>
        </w:rPr>
        <w:t xml:space="preserve">The Verification Center (apps/api/src/verification/verification-service.ts) enforces the gold standard of clinical governance: nothing becomes an official clinical record without physician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Doctor Action</w:t>
            </w:r>
          </w:p>
        </w:tc>
        <w:tc>
          <w:tcPr>
            <w:tcW w:type="pct" w:w="35%"/>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API Execution</w:t>
            </w:r>
          </w:p>
        </w:tc>
        <w:tc>
          <w:tcPr>
            <w:tcW w:type="pct" w:w="45%"/>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Database &amp; Audit Result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VERIFY</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 /api/v1/verification/:id/verify</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Marks fact as DOCTOR_VERIFIED. Original value is locked as verified truth.</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CORRECT</w:t>
            </w:r>
          </w:p>
        </w:tc>
        <w:tc>
          <w:tcPr>
            <w:tcW w:type="pct" w:w="3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POST /api/v1/verification/:id/correct</w:t>
            </w:r>
          </w:p>
        </w:tc>
        <w:tc>
          <w:tcPr>
            <w:tcW w:type="pct" w:w="4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Saves doctor's corrected value in verifiedValue while permanently retaining originalValue.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REJECT</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 /api/v1/verification/:id/reject</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Tags fact as DOCTOR_REJECTED. Suppresses it from future clinical briefs.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MARK UNCERTAIN</w:t>
            </w:r>
          </w:p>
        </w:tc>
        <w:tc>
          <w:tcPr>
            <w:tcW w:type="pct" w:w="3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POST /api/v1/verification/:id/uncertain</w:t>
            </w:r>
          </w:p>
        </w:tc>
        <w:tc>
          <w:tcPr>
            <w:tcW w:type="pct" w:w="4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Flags fact as clinically indeterminate pending formal diagnostic tests.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RESOLVE CONFLICT</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 /confirm-current or /keep-previous</w:t>
            </w:r>
          </w:p>
        </w:tc>
        <w:tc>
          <w:tcPr>
            <w:tcW w:type="pct" w:w="4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Explicitly selects between contradictory facts and records the clinical rationale.</w:t>
            </w:r>
          </w:p>
        </w:tc>
      </w:tr>
    </w:tbl>
    <w:p>
      <w:pPr>
        <w:spacing w:after="80" w:before="60" w:line="280"/>
        <w:jc w:val="left"/>
      </w:pPr>
      <w:r>
        <w:rPr>
          <w:rFonts w:ascii="Calibri" w:cs="Calibri" w:eastAsia="Calibri" w:hAnsi="Calibri"/>
          <w:b w:val="false"/>
          <w:bCs w:val="false"/>
          <w:i w:val="false"/>
          <w:iCs w:val="false"/>
          <w:color w:val="1E293B"/>
          <w:sz w:val="22"/>
          <w:szCs w:val="22"/>
        </w:rPr>
        <w:t xml:space="preserve">Concurrency &amp; Invalidation Safeguards: The verification engine enforces optimistic locking via factVersion and unique idempotency keys. Whenever a doctor completes a verification action, downstream clinical briefs and comparison snapshots are automatically marked STALE and regenerated.</w:t>
      </w:r>
    </w:p>
    <w:p>
      <w:pPr>
        <w:pStyle w:val="Heading1"/>
        <w:spacing w:after="140" w:before="360"/>
      </w:pPr>
      <w:r>
        <w:rPr>
          <w:rFonts w:ascii="Calibri" w:cs="Calibri" w:eastAsia="Calibri" w:hAnsi="Calibri"/>
          <w:b/>
          <w:bCs/>
          <w:color w:val="0F2942"/>
          <w:sz w:val="32"/>
          <w:szCs w:val="32"/>
        </w:rPr>
        <w:t xml:space="preserve">13. Deep Dive: AYUSH Traditional Medicine Integration</w:t>
      </w:r>
    </w:p>
    <w:p>
      <w:pPr>
        <w:spacing w:after="80" w:before="60" w:line="280"/>
        <w:jc w:val="left"/>
      </w:pPr>
      <w:r>
        <w:rPr>
          <w:rFonts w:ascii="Calibri" w:cs="Calibri" w:eastAsia="Calibri" w:hAnsi="Calibri"/>
          <w:b w:val="false"/>
          <w:bCs w:val="false"/>
          <w:i w:val="false"/>
          <w:iCs w:val="false"/>
          <w:color w:val="1E293B"/>
          <w:sz w:val="22"/>
          <w:szCs w:val="22"/>
        </w:rPr>
        <w:t xml:space="preserve">India's healthcare landscape uniquely encompasses both modern allopathic medicine and traditional systems. HELIOS incorporates a dedicated, respectful AYUSH layer (apps/api/src/ayush/ayush-service.ts):</w:t>
      </w:r>
    </w:p>
    <w:p>
      <w:pPr>
        <w:pStyle w:val="ListParagraph"/>
        <w:numPr>
          <w:ilvl w:val="0"/>
          <w:numId w:val="1"/>
        </w:numPr>
        <w:spacing w:after="40" w:before="40" w:line="260"/>
      </w:pPr>
      <w:r>
        <w:rPr>
          <w:rFonts w:ascii="Calibri" w:cs="Calibri" w:eastAsia="Calibri" w:hAnsi="Calibri"/>
          <w:b/>
          <w:bCs/>
          <w:color w:val="0F2942"/>
          <w:sz w:val="22"/>
          <w:szCs w:val="22"/>
        </w:rPr>
        <w:t xml:space="preserve">Supported Traditional Systems: </w:t>
      </w:r>
      <w:r>
        <w:rPr>
          <w:rFonts w:ascii="Calibri" w:cs="Calibri" w:eastAsia="Calibri" w:hAnsi="Calibri"/>
          <w:color w:val="1E293B"/>
          <w:sz w:val="22"/>
          <w:szCs w:val="22"/>
        </w:rPr>
        <w:t xml:space="preserve">Ayurveda, Yoga &amp; Naturopathy, Unani, Siddha, Homoeopathy, and other traditional indigenous practices.</w:t>
      </w:r>
    </w:p>
    <w:p>
      <w:pPr>
        <w:pStyle w:val="ListParagraph"/>
        <w:numPr>
          <w:ilvl w:val="0"/>
          <w:numId w:val="1"/>
        </w:numPr>
        <w:spacing w:after="40" w:before="40" w:line="260"/>
      </w:pPr>
      <w:r>
        <w:rPr>
          <w:rFonts w:ascii="Calibri" w:cs="Calibri" w:eastAsia="Calibri" w:hAnsi="Calibri"/>
          <w:b/>
          <w:bCs/>
          <w:color w:val="0F2942"/>
          <w:sz w:val="22"/>
          <w:szCs w:val="22"/>
        </w:rPr>
        <w:t xml:space="preserve">Neutral Clinical Capture: </w:t>
      </w:r>
      <w:r>
        <w:rPr>
          <w:rFonts w:ascii="Calibri" w:cs="Calibri" w:eastAsia="Calibri" w:hAnsi="Calibri"/>
          <w:color w:val="1E293B"/>
          <w:sz w:val="22"/>
          <w:szCs w:val="22"/>
        </w:rPr>
        <w:t xml:space="preserve">HELIOS records the product name, dosage, practitioner details, start date, and reason for use without making moral or scientific judgments.</w:t>
      </w:r>
    </w:p>
    <w:p>
      <w:pPr>
        <w:pStyle w:val="ListParagraph"/>
        <w:numPr>
          <w:ilvl w:val="0"/>
          <w:numId w:val="1"/>
        </w:numPr>
        <w:spacing w:after="40" w:before="40" w:line="260"/>
      </w:pPr>
      <w:r>
        <w:rPr>
          <w:rFonts w:ascii="Calibri" w:cs="Calibri" w:eastAsia="Calibri" w:hAnsi="Calibri"/>
          <w:b/>
          <w:bCs/>
          <w:color w:val="0F2942"/>
          <w:sz w:val="22"/>
          <w:szCs w:val="22"/>
        </w:rPr>
        <w:t xml:space="preserve">Strict Safety &amp; Causality Boundary: </w:t>
      </w:r>
      <w:r>
        <w:rPr>
          <w:rFonts w:ascii="Calibri" w:cs="Calibri" w:eastAsia="Calibri" w:hAnsi="Calibri"/>
          <w:color w:val="1E293B"/>
          <w:sz w:val="22"/>
          <w:szCs w:val="22"/>
        </w:rPr>
        <w:t xml:space="preserve">HELIOS strictly avoids generating unvalidated drug-herb interaction alerts or attributing symptom causality to AYUSH products without direct clinical evidence. It simply presents the complete medication history so the physician can exercise professional judgment.</w:t>
      </w:r>
    </w:p>
    <w:p>
      <w:pPr>
        <w:pStyle w:val="Heading1"/>
        <w:spacing w:after="140" w:before="360"/>
      </w:pPr>
      <w:r>
        <w:rPr>
          <w:rFonts w:ascii="Calibri" w:cs="Calibri" w:eastAsia="Calibri" w:hAnsi="Calibri"/>
          <w:b/>
          <w:bCs/>
          <w:color w:val="0F2942"/>
          <w:sz w:val="32"/>
          <w:szCs w:val="32"/>
        </w:rPr>
        <w:t xml:space="preserve">14. Deep Dive: Multilingual System (English &amp; Hindi)</w:t>
      </w:r>
    </w:p>
    <w:p>
      <w:pPr>
        <w:spacing w:after="80" w:before="60" w:line="280"/>
        <w:jc w:val="left"/>
      </w:pPr>
      <w:r>
        <w:rPr>
          <w:rFonts w:ascii="Calibri" w:cs="Calibri" w:eastAsia="Calibri" w:hAnsi="Calibri"/>
          <w:b w:val="false"/>
          <w:bCs w:val="false"/>
          <w:i w:val="false"/>
          <w:iCs w:val="false"/>
          <w:color w:val="1E293B"/>
          <w:sz w:val="22"/>
          <w:szCs w:val="22"/>
        </w:rPr>
        <w:t xml:space="preserve">Language equity is fundamental to HELIOS. The multilingual architecture (apps/api/src/language/ and packages/shared/src/language.ts) provides native parity:</w:t>
      </w:r>
    </w:p>
    <w:p>
      <w:pPr>
        <w:pStyle w:val="ListParagraph"/>
        <w:numPr>
          <w:ilvl w:val="0"/>
          <w:numId w:val="1"/>
        </w:numPr>
        <w:spacing w:after="40" w:before="40" w:line="260"/>
      </w:pPr>
      <w:r>
        <w:rPr>
          <w:rFonts w:ascii="Calibri" w:cs="Calibri" w:eastAsia="Calibri" w:hAnsi="Calibri"/>
          <w:b/>
          <w:bCs/>
          <w:color w:val="0F2942"/>
          <w:sz w:val="22"/>
          <w:szCs w:val="22"/>
        </w:rPr>
        <w:t xml:space="preserve">Central Language Registry: </w:t>
      </w:r>
      <w:r>
        <w:rPr>
          <w:rFonts w:ascii="Calibri" w:cs="Calibri" w:eastAsia="Calibri" w:hAnsi="Calibri"/>
          <w:color w:val="1E293B"/>
          <w:sz w:val="22"/>
          <w:szCs w:val="22"/>
        </w:rPr>
        <w:t xml:space="preserve">Maintains metadata for major Indian languages: English (en), Hindi (hi), Tamil (ta), Telugu (te), Marathi (mr), Bengali (bn), Gujarati (gu), Kannada (kn), Malayalam (ml), Punjabi (pa), Odia (or), and Urdu (ur).</w:t>
      </w:r>
    </w:p>
    <w:p>
      <w:pPr>
        <w:pStyle w:val="ListParagraph"/>
        <w:numPr>
          <w:ilvl w:val="0"/>
          <w:numId w:val="1"/>
        </w:numPr>
        <w:spacing w:after="40" w:before="40" w:line="260"/>
      </w:pPr>
      <w:r>
        <w:rPr>
          <w:rFonts w:ascii="Calibri" w:cs="Calibri" w:eastAsia="Calibri" w:hAnsi="Calibri"/>
          <w:b/>
          <w:bCs/>
          <w:color w:val="0F2942"/>
          <w:sz w:val="22"/>
          <w:szCs w:val="22"/>
        </w:rPr>
        <w:t xml:space="preserve">Bilingual Clinical Glossary: </w:t>
      </w:r>
      <w:r>
        <w:rPr>
          <w:rFonts w:ascii="Calibri" w:cs="Calibri" w:eastAsia="Calibri" w:hAnsi="Calibri"/>
          <w:color w:val="1E293B"/>
          <w:sz w:val="22"/>
          <w:szCs w:val="22"/>
        </w:rPr>
        <w:t xml:space="preserve">Normalizes colloquial Hindi medical complaints into standardized concepts while preserving the patient's exact words (e.g. "pet me jalan" -&gt; burning abdominal pain, "chakkar aana" -&gt; dizziness, "saans phoolna" -&gt; shortness of breath).</w:t>
      </w:r>
    </w:p>
    <w:p>
      <w:pPr>
        <w:pStyle w:val="ListParagraph"/>
        <w:numPr>
          <w:ilvl w:val="0"/>
          <w:numId w:val="1"/>
        </w:numPr>
        <w:spacing w:after="40" w:before="40" w:line="260"/>
      </w:pPr>
      <w:r>
        <w:rPr>
          <w:rFonts w:ascii="Calibri" w:cs="Calibri" w:eastAsia="Calibri" w:hAnsi="Calibri"/>
          <w:b/>
          <w:bCs/>
          <w:color w:val="0F2942"/>
          <w:sz w:val="22"/>
          <w:szCs w:val="22"/>
        </w:rPr>
        <w:t xml:space="preserve">Code-Switching Support: </w:t>
      </w:r>
      <w:r>
        <w:rPr>
          <w:rFonts w:ascii="Calibri" w:cs="Calibri" w:eastAsia="Calibri" w:hAnsi="Calibri"/>
          <w:color w:val="1E293B"/>
          <w:sz w:val="22"/>
          <w:szCs w:val="22"/>
        </w:rPr>
        <w:t xml:space="preserve">Recognizes Hinglish (mixed Hindi-English phrases) during both voice transcription and text interview processing.</w:t>
      </w:r>
    </w:p>
    <w:p>
      <w:pPr>
        <w:pStyle w:val="Heading1"/>
        <w:spacing w:after="140" w:before="360"/>
      </w:pPr>
      <w:r>
        <w:rPr>
          <w:rFonts w:ascii="Calibri" w:cs="Calibri" w:eastAsia="Calibri" w:hAnsi="Calibri"/>
          <w:b/>
          <w:bCs/>
          <w:color w:val="0F2942"/>
          <w:sz w:val="32"/>
          <w:szCs w:val="32"/>
        </w:rPr>
        <w:t xml:space="preserve">15. Complete Database Data Model (Prisma Schema)</w:t>
      </w:r>
    </w:p>
    <w:p>
      <w:pPr>
        <w:spacing w:after="80" w:before="60" w:line="280"/>
        <w:jc w:val="left"/>
      </w:pPr>
      <w:r>
        <w:rPr>
          <w:rFonts w:ascii="Calibri" w:cs="Calibri" w:eastAsia="Calibri" w:hAnsi="Calibri"/>
          <w:b w:val="false"/>
          <w:bCs w:val="false"/>
          <w:i w:val="false"/>
          <w:iCs w:val="false"/>
          <w:color w:val="1E293B"/>
          <w:sz w:val="22"/>
          <w:szCs w:val="22"/>
        </w:rPr>
        <w:t xml:space="preserve">The PostgreSQL database schema consists of 23 tightly integrated models that enforce longitudinal tracking, provenance, and auditability: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Prisma Model</w:t>
            </w:r>
          </w:p>
        </w:tc>
        <w:tc>
          <w:tcPr>
            <w:tcW w:type="pct" w:w="2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Domain Area</w:t>
            </w:r>
          </w:p>
        </w:tc>
        <w:tc>
          <w:tcPr>
            <w:tcW w:type="pct" w:w="60%"/>
            <w:shd w:fill="0F2942" w:val="clear"/>
            <w:tcMar>
              <w:top w:type="dxa" w:w="100"/>
              <w:left w:type="dxa" w:w="120"/>
              <w:bottom w:type="dxa" w:w="100"/>
              <w:right w:type="dxa" w:w="120"/>
            </w:tcMar>
          </w:tcPr>
          <w:p>
            <w:r>
              <w:rPr>
                <w:rFonts w:ascii="Calibri" w:cs="Calibri" w:eastAsia="Calibri" w:hAnsi="Calibri"/>
                <w:b/>
                <w:bCs/>
                <w:color w:val="FFFFFF"/>
                <w:sz w:val="20"/>
                <w:szCs w:val="20"/>
              </w:rPr>
              <w:t xml:space="preserve">Core Fields &amp; Relationships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User</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Identity</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email, username, role (PATIENT/DOCTOR/ADMIN), status, language</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PatientProfile</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Demographics</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patientCode, fullName, age, sex, phone, visits, documents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PatientSession</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Intake Session</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visitId, status, currentStep, draftData, token</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ConsentRecord</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Governance</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sessionId, patientId, consentType, accepted, version, acceptedAt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Visit</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Consultation</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tokenNumber, status, visitType, symptoms, clinicalHistory</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Interview</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Adaptive Graph</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sessionId, visitId, pathway, state, completeness, responses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InterviewResponse</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Graph Answers</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interviewId, questionId, rawAnswer, normalizedAnswer, status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VoiceInteraction</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Speech Audio</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sessionId, originalTranscript, patientEditedTranscript, accepted</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ClinicalHistory</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HPI Record</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visitId, chiefComplaint, onset, duration, severity, location</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Symptom</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Clinical State</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visitId, name, normalizedName, severity, location, source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Medication</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Clinical State</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visitId, name, dose, frequency, route, verificationStatus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Allergy</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Safety</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allergen, reaction, severity, verificationStatus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Observation</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Labs &amp; Vitals</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conceptKey, display, value, unit, referenceRange</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MedicalDocument</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Document AI</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fileName, mimeType, fileHash, identityStatus, pages, facts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DocumentPage</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 AI</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documentId, pageNumber, ocrText, processedImagePath, confidence</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DocumentFact</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Document AI</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documentId, factType, originalValue, normalizedValue, evidence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DocumentEvidence</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Traceability</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documentFactId, pageNumber, sourceText, boundingBox</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TimelineEvent</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Longitudinal</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eventType, title, eventDate, datePrecision, fingerprint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PatientSnapshot</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Delta Engine</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visitId, snapshotHash, facts, sourceRevision</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Comparison</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Delta Engine</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previousVisitId, currentVisitId, changes, status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ChangeRecord</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Delta Engine</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comparisonId, entityType, changeType (NEW/CHANGED/REMOVED), diff</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ClinicalBrief</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Physician Summary</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visitId, sections, sourceReferences, claims, status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BriefClaim</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Physician Summary</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briefId, sectionType, claimKey, text, evidenceReferences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DoctorVerification</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Audit &amp; Sign-off</w:t>
            </w:r>
          </w:p>
        </w:tc>
        <w:tc>
          <w:tcPr>
            <w:tcW w:type="pct" w:w="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id, patientId, factType, factId, action, originalValue, verifiedValue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AyushRecord</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Traditional Med</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 patientId, system, medicineName, dosage, startDate, useStatus</w:t>
            </w:r>
          </w:p>
        </w:tc>
      </w:tr>
    </w:tbl>
    <w:p>
      <w:pPr>
        <w:pStyle w:val="Heading1"/>
        <w:spacing w:after="140" w:before="360"/>
      </w:pPr>
      <w:r>
        <w:rPr>
          <w:rFonts w:ascii="Calibri" w:cs="Calibri" w:eastAsia="Calibri" w:hAnsi="Calibri"/>
          <w:b/>
          <w:bCs/>
          <w:color w:val="0F2942"/>
          <w:sz w:val="32"/>
          <w:szCs w:val="32"/>
        </w:rPr>
        <w:t xml:space="preserve">16. Local Runtime &amp; Developer Guide</w:t>
      </w:r>
    </w:p>
    <w:p>
      <w:pPr>
        <w:spacing w:after="80" w:before="60" w:line="280"/>
        <w:jc w:val="left"/>
      </w:pPr>
      <w:r>
        <w:rPr>
          <w:rFonts w:ascii="Calibri" w:cs="Calibri" w:eastAsia="Calibri" w:hAnsi="Calibri"/>
          <w:b w:val="false"/>
          <w:bCs w:val="false"/>
          <w:i w:val="false"/>
          <w:iCs w:val="false"/>
          <w:color w:val="1E293B"/>
          <w:sz w:val="22"/>
          <w:szCs w:val="22"/>
        </w:rPr>
        <w:t xml:space="preserve">HELIOS is configured with safe local defaults that allow complete local execution without external cloud dependencies or API costs:</w:t>
      </w:r>
    </w:p>
    <w:tbl>
      <w:tblPr>
        <w:tblW w:type="pct" w:w="100%"/>
        <w:tblBorders>
          <w:top w:val="single" w:color="CBD5E1" w:sz="6"/>
          <w:left w:val="single" w:color="CBD5E1" w:sz="6"/>
          <w:bottom w:val="single" w:color="CBD5E1" w:sz="6"/>
          <w:right w:val="single" w:color="CBD5E1" w:sz="6"/>
          <w:insideH w:val="single" w:color="auto" w:sz="4"/>
          <w:insideV w:val="single" w:color="auto" w:sz="4"/>
        </w:tblBorders>
      </w:tblPr>
      <w:tblGrid>
        <w:gridCol w:w="100"/>
      </w:tblGrid>
      <w:tr>
        <w:tc>
          <w:tcPr>
            <w:shd w:fill="F1F5F9" w:val="clear"/>
            <w:tcMar>
              <w:top w:type="dxa" w:w="100"/>
              <w:left w:type="dxa" w:w="140"/>
              <w:bottom w:type="dxa" w:w="100"/>
              <w:right w:type="dxa" w:w="140"/>
            </w:tcMar>
          </w:tcPr>
          <w:p>
            <w:pPr>
              <w:spacing w:after="20" w:before="20" w:line="220"/>
            </w:pPr>
            <w:r>
              <w:rPr>
                <w:rFonts w:ascii="Consolas" w:cs="Consolas" w:eastAsia="Consolas" w:hAnsi="Consolas"/>
                <w:color w:val="0F172A"/>
                <w:sz w:val="18"/>
                <w:szCs w:val="18"/>
              </w:rPr>
              <w:t xml:space="preserve"># 1. Install Workspace Dependencies</w:t>
            </w:r>
          </w:p>
          <w:p>
            <w:pPr>
              <w:spacing w:after="20" w:before="20" w:line="220"/>
            </w:pPr>
            <w:r>
              <w:rPr>
                <w:rFonts w:ascii="Consolas" w:cs="Consolas" w:eastAsia="Consolas" w:hAnsi="Consolas"/>
                <w:color w:val="0F172A"/>
                <w:sz w:val="18"/>
                <w:szCs w:val="18"/>
              </w:rPr>
              <w:t xml:space="preserve">pnpm install</w:t>
            </w:r>
          </w:p>
          <w:p>
            <w:pPr>
              <w:spacing w:after="20" w:before="20" w:line="220"/>
            </w:pPr>
            <w:r>
              <w:rPr>
                <w:rFonts w:ascii="Consolas" w:cs="Consolas" w:eastAsia="Consolas" w:hAnsi="Consolas"/>
                <w:color w:val="0F172A"/>
                <w:sz w:val="18"/>
                <w:szCs w:val="18"/>
              </w:rPr>
              <w:t xml:space="preserve"/>
            </w:r>
          </w:p>
          <w:p>
            <w:pPr>
              <w:spacing w:after="20" w:before="20" w:line="220"/>
            </w:pPr>
            <w:r>
              <w:rPr>
                <w:rFonts w:ascii="Consolas" w:cs="Consolas" w:eastAsia="Consolas" w:hAnsi="Consolas"/>
                <w:color w:val="0F172A"/>
                <w:sz w:val="18"/>
                <w:szCs w:val="18"/>
              </w:rPr>
              <w:t xml:space="preserve"># 2. Configure Local Environment (Safe Defaults)</w:t>
            </w:r>
          </w:p>
          <w:p>
            <w:pPr>
              <w:spacing w:after="20" w:before="20" w:line="220"/>
            </w:pPr>
            <w:r>
              <w:rPr>
                <w:rFonts w:ascii="Consolas" w:cs="Consolas" w:eastAsia="Consolas" w:hAnsi="Consolas"/>
                <w:color w:val="0F172A"/>
                <w:sz w:val="18"/>
                <w:szCs w:val="18"/>
              </w:rPr>
              <w:t xml:space="preserve">cp .env.example .env</w:t>
            </w:r>
          </w:p>
          <w:p>
            <w:pPr>
              <w:spacing w:after="20" w:before="20" w:line="220"/>
            </w:pPr>
            <w:r>
              <w:rPr>
                <w:rFonts w:ascii="Consolas" w:cs="Consolas" w:eastAsia="Consolas" w:hAnsi="Consolas"/>
                <w:color w:val="0F172A"/>
                <w:sz w:val="18"/>
                <w:szCs w:val="18"/>
              </w:rPr>
              <w:t xml:space="preserve"># SPEECH_PROVIDER=mock (Zero API cost offline speech)</w:t>
            </w:r>
          </w:p>
          <w:p>
            <w:pPr>
              <w:spacing w:after="20" w:before="20" w:line="220"/>
            </w:pPr>
            <w:r>
              <w:rPr>
                <w:rFonts w:ascii="Consolas" w:cs="Consolas" w:eastAsia="Consolas" w:hAnsi="Consolas"/>
                <w:color w:val="0F172A"/>
                <w:sz w:val="18"/>
                <w:szCs w:val="18"/>
              </w:rPr>
              <w:t xml:space="preserve"># CLINICAL_NLU_PROVIDER=rules (Zero API cost deterministic NLU)</w:t>
            </w:r>
          </w:p>
          <w:p>
            <w:pPr>
              <w:spacing w:after="20" w:before="20" w:line="220"/>
            </w:pPr>
            <w:r>
              <w:rPr>
                <w:rFonts w:ascii="Consolas" w:cs="Consolas" w:eastAsia="Consolas" w:hAnsi="Consolas"/>
                <w:color w:val="0F172A"/>
                <w:sz w:val="18"/>
                <w:szCs w:val="18"/>
              </w:rPr>
              <w:t xml:space="preserve"/>
            </w:r>
          </w:p>
          <w:p>
            <w:pPr>
              <w:spacing w:after="20" w:before="20" w:line="220"/>
            </w:pPr>
            <w:r>
              <w:rPr>
                <w:rFonts w:ascii="Consolas" w:cs="Consolas" w:eastAsia="Consolas" w:hAnsi="Consolas"/>
                <w:color w:val="0F172A"/>
                <w:sz w:val="18"/>
                <w:szCs w:val="18"/>
              </w:rPr>
              <w:t xml:space="preserve"># 3. Initialize PostgreSQL Database &amp; Run Migrations</w:t>
            </w:r>
          </w:p>
          <w:p>
            <w:pPr>
              <w:spacing w:after="20" w:before="20" w:line="220"/>
            </w:pPr>
            <w:r>
              <w:rPr>
                <w:rFonts w:ascii="Consolas" w:cs="Consolas" w:eastAsia="Consolas" w:hAnsi="Consolas"/>
                <w:color w:val="0F172A"/>
                <w:sz w:val="18"/>
                <w:szCs w:val="18"/>
              </w:rPr>
              <w:t xml:space="preserve">pnpm db:generate</w:t>
            </w:r>
          </w:p>
          <w:p>
            <w:pPr>
              <w:spacing w:after="20" w:before="20" w:line="220"/>
            </w:pPr>
            <w:r>
              <w:rPr>
                <w:rFonts w:ascii="Consolas" w:cs="Consolas" w:eastAsia="Consolas" w:hAnsi="Consolas"/>
                <w:color w:val="0F172A"/>
                <w:sz w:val="18"/>
                <w:szCs w:val="18"/>
              </w:rPr>
              <w:t xml:space="preserve">pnpm db:migrate</w:t>
            </w:r>
          </w:p>
          <w:p>
            <w:pPr>
              <w:spacing w:after="20" w:before="20" w:line="220"/>
            </w:pPr>
            <w:r>
              <w:rPr>
                <w:rFonts w:ascii="Consolas" w:cs="Consolas" w:eastAsia="Consolas" w:hAnsi="Consolas"/>
                <w:color w:val="0F172A"/>
                <w:sz w:val="18"/>
                <w:szCs w:val="18"/>
              </w:rPr>
              <w:t xml:space="preserve"/>
            </w:r>
          </w:p>
          <w:p>
            <w:pPr>
              <w:spacing w:after="20" w:before="20" w:line="220"/>
            </w:pPr>
            <w:r>
              <w:rPr>
                <w:rFonts w:ascii="Consolas" w:cs="Consolas" w:eastAsia="Consolas" w:hAnsi="Consolas"/>
                <w:color w:val="0F172A"/>
                <w:sz w:val="18"/>
                <w:szCs w:val="18"/>
              </w:rPr>
              <w:t xml:space="preserve"># 4. Seed Synthetic Patient Personas (Aarav Sharma, Priya Patel, Rohan Verma)</w:t>
            </w:r>
          </w:p>
          <w:p>
            <w:pPr>
              <w:spacing w:after="20" w:before="20" w:line="220"/>
            </w:pPr>
            <w:r>
              <w:rPr>
                <w:rFonts w:ascii="Consolas" w:cs="Consolas" w:eastAsia="Consolas" w:hAnsi="Consolas"/>
                <w:color w:val="0F172A"/>
                <w:sz w:val="18"/>
                <w:szCs w:val="18"/>
              </w:rPr>
              <w:t xml:space="preserve">pnpm db:seed</w:t>
            </w:r>
          </w:p>
          <w:p>
            <w:pPr>
              <w:spacing w:after="20" w:before="20" w:line="220"/>
            </w:pPr>
            <w:r>
              <w:rPr>
                <w:rFonts w:ascii="Consolas" w:cs="Consolas" w:eastAsia="Consolas" w:hAnsi="Consolas"/>
                <w:color w:val="0F172A"/>
                <w:sz w:val="18"/>
                <w:szCs w:val="18"/>
              </w:rPr>
              <w:t xml:space="preserve"/>
            </w:r>
          </w:p>
          <w:p>
            <w:pPr>
              <w:spacing w:after="20" w:before="20" w:line="220"/>
            </w:pPr>
            <w:r>
              <w:rPr>
                <w:rFonts w:ascii="Consolas" w:cs="Consolas" w:eastAsia="Consolas" w:hAnsi="Consolas"/>
                <w:color w:val="0F172A"/>
                <w:sz w:val="18"/>
                <w:szCs w:val="18"/>
              </w:rPr>
              <w:t xml:space="preserve"># 5. Launch Full Development Environment</w:t>
            </w:r>
          </w:p>
          <w:p>
            <w:pPr>
              <w:spacing w:after="20" w:before="20" w:line="220"/>
            </w:pPr>
            <w:r>
              <w:rPr>
                <w:rFonts w:ascii="Consolas" w:cs="Consolas" w:eastAsia="Consolas" w:hAnsi="Consolas"/>
                <w:color w:val="0F172A"/>
                <w:sz w:val="18"/>
                <w:szCs w:val="18"/>
              </w:rPr>
              <w:t xml:space="preserve">pnpm dev</w:t>
            </w:r>
          </w:p>
          <w:p>
            <w:pPr>
              <w:spacing w:after="20" w:before="20" w:line="220"/>
            </w:pPr>
            <w:r>
              <w:rPr>
                <w:rFonts w:ascii="Consolas" w:cs="Consolas" w:eastAsia="Consolas" w:hAnsi="Consolas"/>
                <w:color w:val="0F172A"/>
                <w:sz w:val="18"/>
                <w:szCs w:val="18"/>
              </w:rPr>
              <w:t xml:space="preserve"># Web Application: http://localhost:3000</w:t>
            </w:r>
          </w:p>
          <w:p>
            <w:pPr>
              <w:spacing w:after="20" w:before="20" w:line="220"/>
            </w:pPr>
            <w:r>
              <w:rPr>
                <w:rFonts w:ascii="Consolas" w:cs="Consolas" w:eastAsia="Consolas" w:hAnsi="Consolas"/>
                <w:color w:val="0F172A"/>
                <w:sz w:val="18"/>
                <w:szCs w:val="18"/>
              </w:rPr>
              <w:t xml:space="preserve"># Express REST API: http://localhost:5000</w:t>
            </w:r>
          </w:p>
          <w:p>
            <w:pPr>
              <w:spacing w:after="20" w:before="20" w:line="220"/>
            </w:pPr>
            <w:r>
              <w:rPr>
                <w:rFonts w:ascii="Consolas" w:cs="Consolas" w:eastAsia="Consolas" w:hAnsi="Consolas"/>
                <w:color w:val="0F172A"/>
                <w:sz w:val="18"/>
                <w:szCs w:val="18"/>
              </w:rPr>
              <w:t xml:space="preserve"/>
            </w:r>
          </w:p>
          <w:p>
            <w:pPr>
              <w:spacing w:after="20" w:before="20" w:line="220"/>
            </w:pPr>
            <w:r>
              <w:rPr>
                <w:rFonts w:ascii="Consolas" w:cs="Consolas" w:eastAsia="Consolas" w:hAnsi="Consolas"/>
                <w:color w:val="0F172A"/>
                <w:sz w:val="18"/>
                <w:szCs w:val="18"/>
              </w:rPr>
              <w:t xml:space="preserve"># 6. Execute Test Suites</w:t>
            </w:r>
          </w:p>
          <w:p>
            <w:pPr>
              <w:spacing w:after="20" w:before="20" w:line="220"/>
            </w:pPr>
            <w:r>
              <w:rPr>
                <w:rFonts w:ascii="Consolas" w:cs="Consolas" w:eastAsia="Consolas" w:hAnsi="Consolas"/>
                <w:color w:val="0F172A"/>
                <w:sz w:val="18"/>
                <w:szCs w:val="18"/>
              </w:rPr>
              <w:t xml:space="preserve">pnpm test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HELIOS System Architecture &amp; Operational Guide | SIH2026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2026-09-12T14:37:36.641Z</dcterms:created>
  <dcterms:modified xsi:type="dcterms:W3CDTF">2026-09-12T14:37:36.642Z</dcterms:modified>
</cp:coreProperties>
</file>

<file path=docProps/custom.xml><?xml version="1.0" encoding="utf-8"?>
<Properties xmlns="http://schemas.openxmlformats.org/officeDocument/2006/custom-properties" xmlns:vt="http://schemas.openxmlformats.org/officeDocument/2006/docPropsVTypes"/>
</file>