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Отчёт: Население США</w:t>
      </w:r>
      <w:r>
        <w:br/>
      </w:r>
      <w:r>
        <w:br/>
        <w:t xml:space="preserve"> 1. Исполнительное резюме (ключевые факты)</w:t>
      </w:r>
      <w:r>
        <w:br/>
      </w:r>
      <w:r>
        <w:br/>
        <w:t xml:space="preserve"> 1. Общая численность: порядка 331–333 млн (перепись 2020: ≈331,4 млн; оценка 2022: ≈333,3 млн). </w:t>
      </w:r>
      <w:r>
        <w:br/>
      </w:r>
      <w:r>
        <w:br/>
        <w:t xml:space="preserve"> 1. Среднегодовой прирост в последние десятилетия замедлился; после 2020 рост обеспечивается в основном международной миграцией. </w:t>
      </w:r>
    </w:p>
    <w:p>
      <w:pPr>
        <w:pStyle w:val="ListNumber"/>
        <w:numPr>
          <w:ilvl w:val="0"/>
          <w:numId w:val="10"/>
        </w:numPr>
      </w:pPr>
      <w:r>
        <w:t>Динамика численности (1950–2022) — таблица</w:t>
      </w:r>
      <w:r>
        <w:br/>
      </w:r>
      <w:r>
        <w:br/>
        <w:t>Значения округлены, источники: US Census (Decennial Census) и Annual Estimates.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Год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Население</w:t>
            </w:r>
          </w:p>
        </w:tc>
      </w:tr>
      <w:tr>
        <w:tc>
          <w:tcPr>
            <w:tcW w:type="dxa" w:w="4320"/>
          </w:tcPr>
          <w:p>
            <w:r>
              <w:t>1950</w:t>
            </w:r>
          </w:p>
        </w:tc>
        <w:tc>
          <w:tcPr>
            <w:tcW w:type="dxa" w:w="4320"/>
          </w:tcPr>
          <w:p>
            <w:r>
              <w:t>150.7</w:t>
            </w:r>
          </w:p>
        </w:tc>
      </w:tr>
    </w:tbl>
    <w:p>
      <w:pPr>
        <w:pStyle w:val="ListNumber"/>
        <w:numPr>
          <w:ilvl w:val="0"/>
          <w:numId w:val="11"/>
        </w:numPr>
      </w:pPr>
      <w:r>
        <w:t>Возрастная структура (приблизительно, последовательность трендов)</w:t>
      </w:r>
    </w:p>
    <w:p>
      <w:pPr>
        <w:pStyle w:val="ListNumber"/>
        <w:numPr>
          <w:ilvl w:val="0"/>
          <w:numId w:val="11"/>
        </w:numPr>
      </w:pPr>
      <w:r>
        <w:t xml:space="preserve">Доля детей (0–17): ≈21–23%. </w:t>
      </w:r>
    </w:p>
    <w:p>
      <w:pPr>
        <w:pStyle w:val="ListNumber"/>
        <w:numPr>
          <w:ilvl w:val="0"/>
          <w:numId w:val="11"/>
        </w:numPr>
      </w:pPr>
      <w:r>
        <w:t xml:space="preserve">Доля работоспособного населения (18–64): ≈60–62%.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