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9A4A00"/>
          <w:sz w:val="60"/>
        </w:rPr>
        <w:t>Личный кабинет университета 2.0 beta</w:t>
      </w:r>
    </w:p>
    <w:p>
      <w:pPr>
        <w:jc w:val="center"/>
      </w:pPr>
      <w:r>
        <w:rPr>
          <w:color w:val="4D4D4D"/>
          <w:sz w:val="36"/>
        </w:rPr>
        <w:t>Дизайн-система на основе Material Design 3</w:t>
      </w:r>
    </w:p>
    <w:p>
      <w:pPr>
        <w:jc w:val="center"/>
      </w:pPr>
      <w:r>
        <w:rPr>
          <w:sz w:val="24"/>
        </w:rPr>
        <w:t>Референсный вуз: СПбГУТ им. проф. М. А. Бонч-Бруевича</w:t>
        <w:br/>
        <w:t>Веб, Android, iOS, админ-панель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7941D"/>
          </w:tcPr>
          <w:p>
            <w:r>
              <w:br/>
            </w:r>
          </w:p>
        </w:tc>
        <w:tc>
          <w:tcPr>
            <w:tcW w:type="dxa" w:w="1994"/>
            <w:shd w:val="clear" w:color="auto" w:fill="9A4A00"/>
          </w:tcPr>
          <w:p>
            <w:r>
              <w:br/>
            </w:r>
          </w:p>
        </w:tc>
        <w:tc>
          <w:tcPr>
            <w:tcW w:type="dxa" w:w="1994"/>
            <w:shd w:val="clear" w:color="auto" w:fill="FFDCC0"/>
          </w:tcPr>
          <w:p>
            <w:r>
              <w:br/>
            </w:r>
          </w:p>
        </w:tc>
        <w:tc>
          <w:tcPr>
            <w:tcW w:type="dxa" w:w="1994"/>
            <w:shd w:val="clear" w:color="auto" w:fill="2C5FA8"/>
          </w:tcPr>
          <w:p>
            <w:r>
              <w:br/>
            </w:r>
          </w:p>
        </w:tc>
        <w:tc>
          <w:tcPr>
            <w:tcW w:type="dxa" w:w="1994"/>
            <w:shd w:val="clear" w:color="auto" w:fill="4D4D4D"/>
          </w:tcPr>
          <w:p>
            <w:r>
              <w:br/>
            </w:r>
          </w:p>
        </w:tc>
      </w:tr>
    </w:tbl>
    <w:p>
      <w:pPr>
        <w:jc w:val="center"/>
      </w:pPr>
      <w:r>
        <w:rPr>
          <w:sz w:val="22"/>
        </w:rPr>
        <w:br/>
        <w:t>Октябрь 2026</w:t>
      </w:r>
    </w:p>
    <w:p>
      <w:r>
        <w:br w:type="page"/>
      </w:r>
    </w:p>
    <w:p>
      <w:pPr>
        <w:pStyle w:val="Heading1"/>
      </w:pPr>
      <w:r>
        <w:t>1. Исходные данные и подход</w:t>
      </w:r>
    </w:p>
    <w:p>
      <w:r>
        <w:t>В постановке задачи вуз не назван: система универсальная, для каждого университета разворачивается отдельный экземпляр. Поэтому дизайн-система построена как темизируемая: ядро компонентов общее, а бренд вуза задаётся набором параметров (название, логотип, seed-цвет, акцент). В качестве референса взят СПбГУТ («Бонч»), первый вуз в обзоре аналогов ТЗ. Если команда выберет другой вуз, достаточно заменить seed и пересчитать контраст.</w:t>
      </w:r>
    </w:p>
    <w:p>
      <w:pPr>
        <w:pStyle w:val="Heading2"/>
      </w:pPr>
      <w:r>
        <w:t>Что известно о Бонче</w:t>
      </w:r>
    </w:p>
    <w:p>
      <w:pPr>
        <w:pStyle w:val="ListBullet"/>
      </w:pPr>
      <w:r>
        <w:t>Отраслевой вуз телекоммуникаций, IT и кибербезопасности, основан в 1930 году.</w:t>
      </w:r>
    </w:p>
    <w:p>
      <w:pPr>
        <w:pStyle w:val="ListBullet"/>
      </w:pPr>
      <w:r>
        <w:t>Около 10 000 студентов, среди них около 400 иностранных из 40 стран.</w:t>
      </w:r>
    </w:p>
    <w:p>
      <w:pPr>
        <w:pStyle w:val="ListBullet"/>
      </w:pPr>
      <w:r>
        <w:t>В логотипе аббревиатура «СПбГУТ» и три радиоволны; фирменные цвета — оранжевый и серый.</w:t>
      </w:r>
    </w:p>
    <w:p>
      <w:pPr>
        <w:pStyle w:val="ListBullet"/>
      </w:pPr>
      <w:r>
        <w:t>Аудитория технарская и молодая: интерфейс должен быть аккуратным, «инженерным», без излишней игривости.</w:t>
      </w:r>
    </w:p>
    <w:p>
      <w:r>
        <w:t>Источники: официальный сайт sut.ru, раздел «Фирменный стиль» (sut.ru/university/identity), брошюра вуза.</w:t>
      </w:r>
    </w:p>
    <w:p>
      <w:pPr>
        <w:pStyle w:val="Heading2"/>
      </w:pPr>
      <w:r>
        <w:t>Официальная палитра вуза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9A4A00"/>
          </w:tcPr>
          <w:p>
            <w:r/>
            <w:r>
              <w:rPr>
                <w:b/>
                <w:color w:val="FFFFFF"/>
              </w:rPr>
              <w:t>Цвет</w:t>
            </w:r>
          </w:p>
        </w:tc>
        <w:tc>
          <w:tcPr>
            <w:tcW w:type="dxa" w:w="1701"/>
            <w:shd w:val="clear" w:color="auto" w:fill="9A4A00"/>
          </w:tcPr>
          <w:p>
            <w:r/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5102"/>
            <w:shd w:val="clear" w:color="auto" w:fill="9A4A00"/>
          </w:tcPr>
          <w:p>
            <w:r/>
            <w:r>
              <w:rPr>
                <w:b/>
                <w:color w:val="FFFFFF"/>
              </w:rPr>
              <w:t>Примечание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Оранжевый</w:t>
            </w:r>
          </w:p>
        </w:tc>
        <w:tc>
          <w:tcPr>
            <w:tcW w:type="dxa" w:w="1701"/>
            <w:shd w:val="clear" w:color="auto" w:fill="F7941D"/>
          </w:tcPr>
          <w:p>
            <w:r>
              <w:rPr>
                <w:b/>
                <w:color w:val="000000"/>
                <w:sz w:val="20"/>
              </w:rPr>
              <w:t>#F7941D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Pantone 151 C; основной фирменный цвет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Светло-серый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b/>
                <w:color w:val="000000"/>
                <w:sz w:val="20"/>
              </w:rPr>
              <w:t>#F2F2F2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Фоны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Тёмно-серый</w:t>
            </w:r>
          </w:p>
        </w:tc>
        <w:tc>
          <w:tcPr>
            <w:tcW w:type="dxa" w:w="1701"/>
            <w:shd w:val="clear" w:color="auto" w:fill="4D4D4D"/>
          </w:tcPr>
          <w:p>
            <w:r>
              <w:rPr>
                <w:b/>
                <w:color w:val="FFFFFF"/>
                <w:sz w:val="20"/>
              </w:rPr>
              <w:t>#4D4D4D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Текст, вторичные элементы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Чёрный</w:t>
            </w:r>
          </w:p>
        </w:tc>
        <w:tc>
          <w:tcPr>
            <w:tcW w:type="dxa" w:w="1701"/>
            <w:shd w:val="clear" w:color="auto" w:fill="000000"/>
          </w:tcPr>
          <w:p>
            <w:r>
              <w:rPr>
                <w:b/>
                <w:color w:val="FFFFFF"/>
                <w:sz w:val="20"/>
              </w:rPr>
              <w:t>#000000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Белый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b/>
                <w:color w:val="000000"/>
                <w:sz w:val="20"/>
              </w:rPr>
              <w:t>#FFFFFF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Проблема контраста</w:t>
      </w:r>
    </w:p>
    <w:p>
      <w:r>
        <w:t>Оранжевый #F7941D на белом даёт контраст всего 2.28:1, при требуемых WCAG AA 4.5:1 для текста. Поэтому он не используется как цвет текста или фон кнопки с белой подписью. Решение: взять оранжевый как seed, построить из него тональную палитру Material 3, а чистый бренд-цвет оставить для декоративных элементов (логотип, шапка, иллюстрации, крупные иконки).</w:t>
      </w:r>
    </w:p>
    <w:p>
      <w:pPr>
        <w:pStyle w:val="Heading1"/>
      </w:pPr>
      <w:r>
        <w:t>2. Цветовая схема</w:t>
      </w:r>
    </w:p>
    <w:p>
      <w:pPr>
        <w:pStyle w:val="Heading2"/>
      </w:pPr>
      <w:r>
        <w:t>Светлая тема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9A4A00"/>
          </w:tcPr>
          <w:p>
            <w:r/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1701"/>
            <w:shd w:val="clear" w:color="auto" w:fill="9A4A00"/>
          </w:tcPr>
          <w:p>
            <w:r/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551"/>
            <w:shd w:val="clear" w:color="auto" w:fill="9A4A00"/>
          </w:tcPr>
          <w:p>
            <w:r/>
            <w:r>
              <w:rPr>
                <w:b/>
                <w:color w:val="FFFFFF"/>
              </w:rPr>
              <w:t>Цвет текста на ней</w:t>
            </w:r>
          </w:p>
        </w:tc>
        <w:tc>
          <w:tcPr>
            <w:tcW w:type="dxa" w:w="1701"/>
            <w:shd w:val="clear" w:color="auto" w:fill="9A4A00"/>
          </w:tcPr>
          <w:p>
            <w:r/>
            <w:r>
              <w:rPr>
                <w:b/>
                <w:color w:val="FFFFFF"/>
              </w:rPr>
              <w:t>Контраст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primary</w:t>
            </w:r>
          </w:p>
        </w:tc>
        <w:tc>
          <w:tcPr>
            <w:tcW w:type="dxa" w:w="1701"/>
            <w:shd w:val="clear" w:color="auto" w:fill="9A4A00"/>
          </w:tcPr>
          <w:p>
            <w:r>
              <w:rPr>
                <w:b/>
                <w:color w:val="FFFFFF"/>
                <w:sz w:val="20"/>
              </w:rPr>
              <w:t>#9A4A00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6.26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primary-container</w:t>
            </w:r>
          </w:p>
        </w:tc>
        <w:tc>
          <w:tcPr>
            <w:tcW w:type="dxa" w:w="1701"/>
            <w:shd w:val="clear" w:color="auto" w:fill="FFDCC0"/>
          </w:tcPr>
          <w:p>
            <w:r>
              <w:rPr>
                <w:b/>
                <w:color w:val="000000"/>
                <w:sz w:val="20"/>
              </w:rPr>
              <w:t>#FFDCC0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#5B2B00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9.08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brand-accent (декор)</w:t>
            </w:r>
          </w:p>
        </w:tc>
        <w:tc>
          <w:tcPr>
            <w:tcW w:type="dxa" w:w="1701"/>
            <w:shd w:val="clear" w:color="auto" w:fill="F7941D"/>
          </w:tcPr>
          <w:p>
            <w:r>
              <w:rPr>
                <w:b/>
                <w:color w:val="000000"/>
                <w:sz w:val="20"/>
              </w:rPr>
              <w:t>#F7941D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#000000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9.21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secondary</w:t>
            </w:r>
          </w:p>
        </w:tc>
        <w:tc>
          <w:tcPr>
            <w:tcW w:type="dxa" w:w="1701"/>
            <w:shd w:val="clear" w:color="auto" w:fill="4D4D4D"/>
          </w:tcPr>
          <w:p>
            <w:r>
              <w:rPr>
                <w:b/>
                <w:color w:val="FFFFFF"/>
                <w:sz w:val="20"/>
              </w:rPr>
              <w:t>#4D4D4D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8.45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tertiary</w:t>
            </w:r>
          </w:p>
        </w:tc>
        <w:tc>
          <w:tcPr>
            <w:tcW w:type="dxa" w:w="1701"/>
            <w:shd w:val="clear" w:color="auto" w:fill="2C5FA8"/>
          </w:tcPr>
          <w:p>
            <w:r>
              <w:rPr>
                <w:b/>
                <w:color w:val="FFFFFF"/>
                <w:sz w:val="20"/>
              </w:rPr>
              <w:t>#2C5FA8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6.35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background / surface</w:t>
            </w:r>
          </w:p>
        </w:tc>
        <w:tc>
          <w:tcPr>
            <w:tcW w:type="dxa" w:w="1701"/>
            <w:shd w:val="clear" w:color="auto" w:fill="FFFBF8"/>
          </w:tcPr>
          <w:p>
            <w:r>
              <w:rPr>
                <w:b/>
                <w:color w:val="000000"/>
                <w:sz w:val="20"/>
              </w:rPr>
              <w:t>#FFFBF8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#1D1B19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surface-variant</w:t>
            </w:r>
          </w:p>
        </w:tc>
        <w:tc>
          <w:tcPr>
            <w:tcW w:type="dxa" w:w="1701"/>
            <w:shd w:val="clear" w:color="auto" w:fill="F2F2F2"/>
          </w:tcPr>
          <w:p>
            <w:r>
              <w:rPr>
                <w:b/>
                <w:color w:val="000000"/>
                <w:sz w:val="20"/>
              </w:rPr>
              <w:t>#F2F2F2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#4D4D4D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7.55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1701"/>
            <w:shd w:val="clear" w:color="auto" w:fill="B3261E"/>
          </w:tcPr>
          <w:p>
            <w:r>
              <w:rPr>
                <w:b/>
                <w:color w:val="FFFFFF"/>
                <w:sz w:val="20"/>
              </w:rPr>
              <w:t>#B3261E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6.54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success (custom)</w:t>
            </w:r>
          </w:p>
        </w:tc>
        <w:tc>
          <w:tcPr>
            <w:tcW w:type="dxa" w:w="1701"/>
            <w:shd w:val="clear" w:color="auto" w:fill="1B6E3C"/>
          </w:tcPr>
          <w:p>
            <w:r>
              <w:rPr>
                <w:b/>
                <w:color w:val="FFFFFF"/>
                <w:sz w:val="20"/>
              </w:rPr>
              <w:t>#1B6E3C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6.28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warning (custom)</w:t>
            </w:r>
          </w:p>
        </w:tc>
        <w:tc>
          <w:tcPr>
            <w:tcW w:type="dxa" w:w="1701"/>
            <w:shd w:val="clear" w:color="auto" w:fill="7A5900"/>
          </w:tcPr>
          <w:p>
            <w:r>
              <w:rPr>
                <w:b/>
                <w:color w:val="FFFFFF"/>
                <w:sz w:val="20"/>
              </w:rPr>
              <w:t>#7A5900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6.45</w:t>
            </w:r>
          </w:p>
        </w:tc>
      </w:tr>
    </w:tbl>
    <w:p/>
    <w:p>
      <w:pPr>
        <w:pStyle w:val="Heading2"/>
      </w:pPr>
      <w:r>
        <w:t>Тёмная тема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9A4A00"/>
          </w:tcPr>
          <w:p>
            <w:r/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1701"/>
            <w:shd w:val="clear" w:color="auto" w:fill="9A4A00"/>
          </w:tcPr>
          <w:p>
            <w:r/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551"/>
            <w:shd w:val="clear" w:color="auto" w:fill="9A4A00"/>
          </w:tcPr>
          <w:p>
            <w:r/>
            <w:r>
              <w:rPr>
                <w:b/>
                <w:color w:val="FFFFFF"/>
              </w:rPr>
              <w:t>Цвет текста на ней</w:t>
            </w:r>
          </w:p>
        </w:tc>
        <w:tc>
          <w:tcPr>
            <w:tcW w:type="dxa" w:w="1701"/>
            <w:shd w:val="clear" w:color="auto" w:fill="9A4A00"/>
          </w:tcPr>
          <w:p>
            <w:r/>
            <w:r>
              <w:rPr>
                <w:b/>
                <w:color w:val="FFFFFF"/>
              </w:rPr>
              <w:t>Контраст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primary</w:t>
            </w:r>
          </w:p>
        </w:tc>
        <w:tc>
          <w:tcPr>
            <w:tcW w:type="dxa" w:w="1701"/>
            <w:shd w:val="clear" w:color="auto" w:fill="FFB778"/>
          </w:tcPr>
          <w:p>
            <w:r>
              <w:rPr>
                <w:b/>
                <w:color w:val="000000"/>
                <w:sz w:val="20"/>
              </w:rPr>
              <w:t>#FFB778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#2E1500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10.05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primary-container</w:t>
            </w:r>
          </w:p>
        </w:tc>
        <w:tc>
          <w:tcPr>
            <w:tcW w:type="dxa" w:w="1701"/>
            <w:shd w:val="clear" w:color="auto" w:fill="6F3500"/>
          </w:tcPr>
          <w:p>
            <w:r>
              <w:rPr>
                <w:b/>
                <w:color w:val="FFFFFF"/>
                <w:sz w:val="20"/>
              </w:rPr>
              <w:t>#6F3500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#FFDCC0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tertiary</w:t>
            </w:r>
          </w:p>
        </w:tc>
        <w:tc>
          <w:tcPr>
            <w:tcW w:type="dxa" w:w="1701"/>
            <w:shd w:val="clear" w:color="auto" w:fill="A9C7FF"/>
          </w:tcPr>
          <w:p>
            <w:r>
              <w:rPr>
                <w:b/>
                <w:color w:val="000000"/>
                <w:sz w:val="20"/>
              </w:rPr>
              <w:t>#A9C7FF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#002F66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surface</w:t>
            </w:r>
          </w:p>
        </w:tc>
        <w:tc>
          <w:tcPr>
            <w:tcW w:type="dxa" w:w="1701"/>
            <w:shd w:val="clear" w:color="auto" w:fill="1D1B19"/>
          </w:tcPr>
          <w:p>
            <w:r>
              <w:rPr>
                <w:b/>
                <w:color w:val="FFFFFF"/>
                <w:sz w:val="20"/>
              </w:rPr>
              <w:t>#1D1B19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#E8E1DB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13.27</w:t>
            </w:r>
          </w:p>
        </w:tc>
      </w:tr>
    </w:tbl>
    <w:p/>
    <w:p>
      <w:r>
        <w:t>Значения контраста рассчитаны по формуле WCAG для основных пар; значения для container-ролей в тёмной теме нужно перепроверить после генерации финальной палитры.</w:t>
      </w:r>
    </w:p>
    <w:p>
      <w:pPr>
        <w:pStyle w:val="Heading2"/>
      </w:pPr>
      <w:r>
        <w:t>Принцип применения</w:t>
      </w:r>
    </w:p>
    <w:p>
      <w:pPr>
        <w:pStyle w:val="ListBullet"/>
      </w:pPr>
      <w:r>
        <w:t>Фирменный оранжевый — логотип, шапка, акценты, иллюстрации.</w:t>
      </w:r>
    </w:p>
    <w:p>
      <w:pPr>
        <w:pStyle w:val="ListBullet"/>
      </w:pPr>
      <w:r>
        <w:t>Интерактивные элементы и текст — затемнённый primary #9A4A00.</w:t>
      </w:r>
    </w:p>
    <w:p>
      <w:pPr>
        <w:pStyle w:val="ListBullet"/>
      </w:pPr>
      <w:r>
        <w:t>Серые нейтрали — поверхности и вторичный текст.</w:t>
      </w:r>
    </w:p>
    <w:p>
      <w:pPr>
        <w:pStyle w:val="ListBullet"/>
      </w:pPr>
      <w:r>
        <w:t>Синий tertiary — информационные состояния и режим демо-оплаты.</w:t>
      </w:r>
    </w:p>
    <w:p>
      <w:pPr>
        <w:pStyle w:val="Heading1"/>
      </w:pPr>
      <w:r>
        <w:t>3. Семантика статусов</w:t>
      </w:r>
    </w:p>
    <w:p>
      <w:r>
        <w:t>Цвет всегда дублируется иконкой и текстом, чтобы интерфейс был доступен людям с нарушением цветовосприятия.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9A4A00"/>
          </w:tcPr>
          <w:p>
            <w:r/>
            <w:r>
              <w:rPr>
                <w:b/>
                <w:color w:val="FFFFFF"/>
              </w:rPr>
              <w:t>Контекст</w:t>
            </w:r>
          </w:p>
        </w:tc>
        <w:tc>
          <w:tcPr>
            <w:tcW w:type="dxa" w:w="3118"/>
            <w:shd w:val="clear" w:color="auto" w:fill="9A4A00"/>
          </w:tcPr>
          <w:p>
            <w:r/>
            <w:r>
              <w:rPr>
                <w:b/>
                <w:color w:val="FFFFFF"/>
              </w:rPr>
              <w:t>Состояние</w:t>
            </w:r>
          </w:p>
        </w:tc>
        <w:tc>
          <w:tcPr>
            <w:tcW w:type="dxa" w:w="3118"/>
            <w:shd w:val="clear" w:color="auto" w:fill="9A4A00"/>
          </w:tcPr>
          <w:p>
            <w:r/>
            <w:r>
              <w:rPr>
                <w:b/>
                <w:color w:val="FFFFFF"/>
              </w:rPr>
              <w:t>Цвет / иконка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Посещаемость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Присутствовал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success, check_circle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Посещаемость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Отсутствовал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error, cancel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Посещаемость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Исправлено преподавателем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tertiary, edit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Оценки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Задолженность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error-container, warning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Оценки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Зачёт / сдано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success-container, task_alt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Заявки (справки, общежитие, дисциплины)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На рассмотрении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warning, schedule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Заявки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Готово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success, done_all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Заявки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Отклонено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error, block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Нет сети (СТ-07)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Данные могут быть устаревшими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surface-variant, cloud_off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Чат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Сообщение не доставлено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error, error_outline</w:t>
            </w:r>
          </w:p>
        </w:tc>
      </w:tr>
    </w:tbl>
    <w:p/>
    <w:p>
      <w:pPr>
        <w:pStyle w:val="Heading2"/>
      </w:pPr>
      <w:r>
        <w:t>Демонстрационная оплата (ФТ-26)</w:t>
      </w:r>
    </w:p>
    <w:p>
      <w:r>
        <w:t>Это обязательное требование ТЗ: демо-операции должны быть явно отличимы от реальных. На экранах оплаты показывается постоянная плашка «УЧЕБНАЯ ОПЕРАЦИЯ» на tertiary-container и штриховая рамка. Итоговый статус не может быть зелёным «Оплачено»; используется формулировка «Демо-оплата выполнена, средства не списаны».</w:t>
      </w:r>
    </w:p>
    <w:p>
      <w:pPr>
        <w:pStyle w:val="Heading1"/>
      </w:pPr>
      <w:r>
        <w:t>4. Токены дизайн-системы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9A4A00"/>
          </w:tcPr>
          <w:p>
            <w:r/>
            <w:r>
              <w:rPr>
                <w:b/>
                <w:color w:val="FFFFFF"/>
              </w:rPr>
              <w:t>Группа</w:t>
            </w:r>
          </w:p>
        </w:tc>
        <w:tc>
          <w:tcPr>
            <w:tcW w:type="dxa" w:w="7087"/>
            <w:shd w:val="clear" w:color="auto" w:fill="9A4A00"/>
          </w:tcPr>
          <w:p>
            <w:r/>
            <w:r>
              <w:rPr>
                <w:b/>
                <w:color w:val="FFFFFF"/>
              </w:rPr>
              <w:t>Решение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Типографика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Roboto Flex или Inter (оба с кириллицей). Шкала M3: Display, Headline, Title, Body, Label. Номера зачёток и дат — tabular figures.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Форма (радиусы)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4, 8, 12, 16, 28 dp. Карточки 12, кнопки pill, диалоги 28.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Отступы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Сетка 4 dp; основные шаги 8, 16, 24, 32.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Elevation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Тональная (surface tint), тени минимальны.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Иконки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Material Symbols Outlined / Rounded, 24 dp.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Анимация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Стандартные easing M3, 200–300 мс.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Тема вуза</w:t>
            </w:r>
          </w:p>
        </w:tc>
        <w:tc>
          <w:tcPr>
            <w:tcW w:type="dxa" w:w="7087"/>
          </w:tcPr>
          <w:p>
            <w:r>
              <w:rPr>
                <w:sz w:val="20"/>
              </w:rPr>
              <w:t>brand.json: название, логотип, seed-цвет, акцент. Новый вуз = новый seed.</w:t>
            </w:r>
          </w:p>
        </w:tc>
      </w:tr>
    </w:tbl>
    <w:p/>
    <w:p>
      <w:pPr>
        <w:pStyle w:val="Heading1"/>
      </w:pPr>
      <w:r>
        <w:t>5. Адаптивность и навигация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9A4A00"/>
          </w:tcPr>
          <w:p>
            <w:r/>
            <w:r>
              <w:rPr>
                <w:b/>
                <w:color w:val="FFFFFF"/>
              </w:rPr>
              <w:t>Размер окна</w:t>
            </w:r>
          </w:p>
        </w:tc>
        <w:tc>
          <w:tcPr>
            <w:tcW w:type="dxa" w:w="3118"/>
            <w:shd w:val="clear" w:color="auto" w:fill="9A4A00"/>
          </w:tcPr>
          <w:p>
            <w:r/>
            <w:r>
              <w:rPr>
                <w:b/>
                <w:color w:val="FFFFFF"/>
              </w:rPr>
              <w:t>Навигация</w:t>
            </w:r>
          </w:p>
        </w:tc>
        <w:tc>
          <w:tcPr>
            <w:tcW w:type="dxa" w:w="3685"/>
            <w:shd w:val="clear" w:color="auto" w:fill="9A4A00"/>
          </w:tcPr>
          <w:p>
            <w:r/>
            <w:r>
              <w:rPr>
                <w:b/>
                <w:color w:val="FFFFFF"/>
              </w:rPr>
              <w:t>Раскладка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Compact (&lt;600 dp)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Bottom Navigation Bar, 4–5 пунктов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Одна колонка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Medium (600–839 dp)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Navigation Rail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Одна-две колонки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Expanded (≥840 dp)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Navigation Drawer или Rail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Двухпанельный list-detail (чаты, заявки)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Админ-панель (веб)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Permanent Drawer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Плотные таблицы, фильтры, bulk-действия; density −1</w:t>
            </w:r>
          </w:p>
        </w:tc>
      </w:tr>
    </w:tbl>
    <w:p/>
    <w:p>
      <w:r>
        <w:t>Пункты навигации студента: Расписание, Дневник, Чаты, Услуги, Профиль. Разделы, отключённые вузом, исчезают из навигации.</w:t>
      </w:r>
    </w:p>
    <w:p>
      <w:pPr>
        <w:pStyle w:val="Heading1"/>
      </w:pPr>
      <w:r>
        <w:t>6. Компоненты под функции ТЗ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9A4A00"/>
          </w:tcPr>
          <w:p>
            <w:r/>
            <w:r>
              <w:rPr>
                <w:b/>
                <w:color w:val="FFFFFF"/>
              </w:rPr>
              <w:t>Раздел</w:t>
            </w:r>
          </w:p>
        </w:tc>
        <w:tc>
          <w:tcPr>
            <w:tcW w:type="dxa" w:w="1701"/>
            <w:shd w:val="clear" w:color="auto" w:fill="9A4A00"/>
          </w:tcPr>
          <w:p>
            <w:r/>
            <w:r>
              <w:rPr>
                <w:b/>
                <w:color w:val="FFFFFF"/>
              </w:rPr>
              <w:t>Требования</w:t>
            </w:r>
          </w:p>
        </w:tc>
        <w:tc>
          <w:tcPr>
            <w:tcW w:type="dxa" w:w="5386"/>
            <w:shd w:val="clear" w:color="auto" w:fill="9A4A00"/>
          </w:tcPr>
          <w:p>
            <w:r/>
            <w:r>
              <w:rPr>
                <w:b/>
                <w:color w:val="FFFFFF"/>
              </w:rPr>
              <w:t>Компоненты M3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Расписание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ФТ-08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Segmented button (день/неделя), карточки пар, Chips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Отметка на занятии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ФТ-09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Крупная Filled Button или Extended FAB, таймер, Snackbar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Дневник и рейтинг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ФТ-14–17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Списки, Tabs по семестрам, Linear progress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Чаты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ФТ-18–20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List-detail, Search bar, баббл на secondary-container, статусы доставки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Профиль и студ. билет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ФТ-04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Card с фото и QR, повышение яркости экрана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Заявки и справки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ФТ-22–24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Stepper, Chips статуса, Bottom sheet, Dialog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Договоры и оплата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ФТ-25–26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Карточки, Radio (карта / СБП), демо-плашка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Админ-панель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ФТ-27–30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Data table, отчёт об ошибках импорта по строкам, журнал действий</w:t>
            </w:r>
          </w:p>
        </w:tc>
      </w:tr>
    </w:tbl>
    <w:p/>
    <w:p>
      <w:pPr>
        <w:pStyle w:val="Heading1"/>
      </w:pPr>
      <w:r>
        <w:t>7. Принципы</w:t>
      </w:r>
    </w:p>
    <w:p>
      <w:pPr>
        <w:pStyle w:val="ListNumber"/>
      </w:pPr>
      <w:r>
        <w:t>Один набор токенов на веб и мобильные клиенты: Compose Multiplatform на мобильном, Material Web / MUI / Angular Material на вебе.</w:t>
      </w:r>
    </w:p>
    <w:p>
      <w:pPr>
        <w:pStyle w:val="ListNumber"/>
      </w:pPr>
      <w:r>
        <w:t>Роль меняет контент, но не структуру: студент и сотрудник используют общую основу, различаются карточки и права.</w:t>
      </w:r>
    </w:p>
    <w:p>
      <w:pPr>
        <w:pStyle w:val="ListNumber"/>
      </w:pPr>
      <w:r>
        <w:t>Недоступное по правам скрывается или показывается disabled с пояснением.</w:t>
      </w:r>
    </w:p>
    <w:p>
      <w:pPr>
        <w:pStyle w:val="ListNumber"/>
      </w:pPr>
      <w:r>
        <w:t>Для каждого экрана обязательны состояния loading (skeleton), empty, error, offline.</w:t>
      </w:r>
    </w:p>
    <w:p>
      <w:pPr>
        <w:pStyle w:val="ListNumber"/>
      </w:pPr>
      <w:r>
        <w:t>Тексты на русском, простые и конкретные. Пример: «Не удалось отметиться. Нет сети — обратитесь к преподавателю».</w:t>
      </w:r>
    </w:p>
    <w:p>
      <w:pPr>
        <w:pStyle w:val="ListNumber"/>
      </w:pPr>
      <w:r>
        <w:t>Доступность: контраст не ниже 4.5:1, touch target 48 dp, масштабирование шрифта, тёмная тема.</w:t>
      </w:r>
    </w:p>
    <w:p>
      <w:pPr>
        <w:pStyle w:val="Heading1"/>
      </w:pPr>
      <w:r>
        <w:t>8. План на месяц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9A4A00"/>
          </w:tcPr>
          <w:p>
            <w:r/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1701"/>
            <w:shd w:val="clear" w:color="auto" w:fill="9A4A00"/>
          </w:tcPr>
          <w:p>
            <w:r/>
            <w:r>
              <w:rPr>
                <w:b/>
                <w:color w:val="FFFFFF"/>
              </w:rPr>
              <w:t>Срок</w:t>
            </w:r>
          </w:p>
        </w:tc>
        <w:tc>
          <w:tcPr>
            <w:tcW w:type="dxa" w:w="5386"/>
            <w:shd w:val="clear" w:color="auto" w:fill="9A4A00"/>
          </w:tcPr>
          <w:p>
            <w:r/>
            <w:r>
              <w:rPr>
                <w:b/>
                <w:color w:val="FFFFFF"/>
              </w:rPr>
              <w:t>Результат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Токены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Дни 1–3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Figma (Material 3 Design Kit) + Theme Builder, экспорт в JSON / Kotlin / CSS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Компоненты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Дни 3–8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10–12 базовых: кнопки, карточка пары, chip статуса, поля ввода, навигация, баббл чата, banner, dialog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Ключевые экраны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Дни 8–15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Расписание, Отметка, Дневник, Чат, Услуги/Справка, Профиль, таблица в админке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Проверка мультивузовости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Параллельно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Вторая тема с другим seed — проверка раздела 2.4 ТЗ</w:t>
            </w:r>
          </w:p>
        </w:tc>
      </w:tr>
    </w:tbl>
    <w:p/>
    <w:p>
      <w:pPr>
        <w:pStyle w:val="Heading2"/>
      </w:pPr>
      <w:r>
        <w:t>Открытый вопрос</w:t>
      </w:r>
    </w:p>
    <w:p>
      <w:r>
        <w:t>Подтвердить референсный вуз: СПбГУТ или другой. От этого зависят seed-цвет и логотип в теме по умолчанию.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9A4A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D4D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