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20C6B" w14:textId="77777777" w:rsidR="00020BA2" w:rsidRDefault="00020BA2" w:rsidP="00020BA2">
      <w:pPr>
        <w:rPr>
          <w:rFonts w:ascii="Arial" w:hAnsi="Arial" w:cs="Arial"/>
        </w:rPr>
      </w:pPr>
      <w:bookmarkStart w:id="0" w:name="_Hlk14505442"/>
      <w:r>
        <w:rPr>
          <w:rFonts w:ascii="Arial" w:hAnsi="Arial" w:cs="Arial"/>
        </w:rPr>
        <w:t>Dear Mr. Kenny, Mr. Vijay, and Mr. CEO,</w:t>
      </w:r>
    </w:p>
    <w:p w14:paraId="42034E5F" w14:textId="77777777" w:rsidR="00020BA2" w:rsidRDefault="00020BA2" w:rsidP="00020BA2">
      <w:pPr>
        <w:rPr>
          <w:rFonts w:ascii="Arial" w:hAnsi="Arial" w:cs="Arial"/>
        </w:rPr>
      </w:pPr>
    </w:p>
    <w:p w14:paraId="13E262C3" w14:textId="77777777" w:rsidR="00020BA2" w:rsidRDefault="00020BA2" w:rsidP="00020BA2">
      <w:pPr>
        <w:rPr>
          <w:rFonts w:ascii="Arial" w:hAnsi="Arial" w:cs="Arial"/>
        </w:rPr>
      </w:pPr>
      <w:r>
        <w:rPr>
          <w:rFonts w:ascii="Arial" w:hAnsi="Arial" w:cs="Arial"/>
        </w:rPr>
        <w:t>I would like to submit new loan application for USD70K for your endorsement.</w:t>
      </w:r>
    </w:p>
    <w:p w14:paraId="6EF39AEB" w14:textId="77777777" w:rsidR="00020BA2" w:rsidRDefault="00020BA2" w:rsidP="00020BA2">
      <w:pPr>
        <w:spacing w:before="120" w:after="120" w:line="276" w:lineRule="auto"/>
        <w:ind w:left="60" w:right="115"/>
        <w:jc w:val="both"/>
        <w:rPr>
          <w:rFonts w:ascii="Arial" w:hAnsi="Arial" w:cs="Arial"/>
          <w:b/>
          <w:bCs/>
          <w:u w:val="single"/>
        </w:rPr>
      </w:pPr>
      <w:r>
        <w:rPr>
          <w:rFonts w:ascii="Arial" w:hAnsi="Arial" w:cs="Arial"/>
          <w:b/>
          <w:bCs/>
          <w:u w:val="single"/>
        </w:rPr>
        <w:t>Request</w:t>
      </w:r>
    </w:p>
    <w:p w14:paraId="128B1F89" w14:textId="77777777" w:rsidR="00020BA2" w:rsidRDefault="00020BA2" w:rsidP="00020BA2">
      <w:pPr>
        <w:numPr>
          <w:ilvl w:val="0"/>
          <w:numId w:val="1"/>
        </w:numPr>
        <w:spacing w:after="160" w:line="276" w:lineRule="auto"/>
        <w:ind w:left="360" w:hanging="270"/>
        <w:jc w:val="both"/>
        <w:rPr>
          <w:rFonts w:ascii="Arial" w:hAnsi="Arial" w:cs="Arial"/>
        </w:rPr>
      </w:pPr>
      <w:r>
        <w:rPr>
          <w:rFonts w:ascii="Arial" w:hAnsi="Arial" w:cs="Arial"/>
        </w:rPr>
        <w:t>TL1 of USD50K with interest rate at 8% p.a. to reimburse the purchased land.</w:t>
      </w:r>
    </w:p>
    <w:p w14:paraId="7E458F7A" w14:textId="77777777" w:rsidR="00020BA2" w:rsidRDefault="00020BA2" w:rsidP="00020BA2">
      <w:pPr>
        <w:numPr>
          <w:ilvl w:val="0"/>
          <w:numId w:val="1"/>
        </w:numPr>
        <w:spacing w:after="160" w:line="276" w:lineRule="auto"/>
        <w:ind w:left="360" w:hanging="270"/>
        <w:jc w:val="both"/>
        <w:rPr>
          <w:rFonts w:ascii="Arial" w:hAnsi="Arial" w:cs="Arial"/>
          <w:spacing w:val="-4"/>
        </w:rPr>
      </w:pPr>
      <w:r>
        <w:rPr>
          <w:rFonts w:ascii="Arial" w:hAnsi="Arial" w:cs="Arial"/>
          <w:spacing w:val="-4"/>
        </w:rPr>
        <w:t>TL2 of KHR80M with interest rate at 8% p.a. to partially finance the construction cost of 3-Storey building with roof on the subject property to be charged with us.</w:t>
      </w:r>
    </w:p>
    <w:p w14:paraId="4D9E2AD0" w14:textId="77777777" w:rsidR="00020BA2" w:rsidRDefault="00020BA2" w:rsidP="00020BA2">
      <w:pPr>
        <w:spacing w:after="120"/>
        <w:ind w:left="720"/>
        <w:jc w:val="both"/>
        <w:rPr>
          <w:rFonts w:ascii="Arial" w:hAnsi="Arial" w:cs="Arial"/>
          <w:spacing w:val="-4"/>
        </w:rPr>
      </w:pPr>
    </w:p>
    <w:p w14:paraId="47DD5231" w14:textId="77777777" w:rsidR="00020BA2" w:rsidRDefault="00020BA2" w:rsidP="00020BA2">
      <w:pPr>
        <w:spacing w:before="120" w:after="120" w:line="276" w:lineRule="auto"/>
        <w:ind w:left="60" w:right="115"/>
        <w:jc w:val="both"/>
        <w:rPr>
          <w:rFonts w:ascii="Arial" w:hAnsi="Arial" w:cs="Arial"/>
          <w:b/>
          <w:bCs/>
          <w:u w:val="single"/>
        </w:rPr>
      </w:pPr>
      <w:r>
        <w:rPr>
          <w:rFonts w:ascii="Arial" w:hAnsi="Arial" w:cs="Arial"/>
          <w:b/>
          <w:bCs/>
          <w:u w:val="single"/>
        </w:rPr>
        <w:t>Deviation</w:t>
      </w:r>
    </w:p>
    <w:p w14:paraId="10A6F978" w14:textId="77777777" w:rsidR="00020BA2" w:rsidRDefault="00020BA2" w:rsidP="00020BA2">
      <w:pPr>
        <w:pStyle w:val="ListParagraph"/>
        <w:numPr>
          <w:ilvl w:val="0"/>
          <w:numId w:val="2"/>
        </w:numPr>
        <w:spacing w:line="276" w:lineRule="auto"/>
        <w:ind w:left="288" w:hanging="144"/>
        <w:jc w:val="both"/>
        <w:rPr>
          <w:rFonts w:ascii="Arial" w:hAnsi="Arial" w:cs="Arial"/>
          <w:spacing w:val="-4"/>
          <w:szCs w:val="22"/>
        </w:rPr>
      </w:pPr>
      <w:r>
        <w:rPr>
          <w:rFonts w:ascii="Arial" w:hAnsi="Arial" w:cs="Arial"/>
          <w:spacing w:val="-4"/>
          <w:szCs w:val="22"/>
        </w:rPr>
        <w:t xml:space="preserve">To </w:t>
      </w:r>
      <w:r>
        <w:rPr>
          <w:rFonts w:ascii="Arial" w:hAnsi="Arial" w:cs="Arial"/>
          <w:szCs w:val="22"/>
        </w:rPr>
        <w:t>seek approval to accept construction permit with approval at Sangkat Level.</w:t>
      </w:r>
    </w:p>
    <w:p w14:paraId="70BD37FF" w14:textId="77777777" w:rsidR="00020BA2" w:rsidRDefault="00020BA2" w:rsidP="00020BA2">
      <w:pPr>
        <w:pStyle w:val="ListParagraph"/>
        <w:numPr>
          <w:ilvl w:val="0"/>
          <w:numId w:val="2"/>
        </w:numPr>
        <w:spacing w:line="276" w:lineRule="auto"/>
        <w:ind w:left="288" w:hanging="144"/>
        <w:jc w:val="both"/>
        <w:rPr>
          <w:rFonts w:ascii="Arial" w:hAnsi="Arial" w:cs="Arial"/>
          <w:spacing w:val="-4"/>
          <w:szCs w:val="22"/>
        </w:rPr>
      </w:pPr>
      <w:r>
        <w:rPr>
          <w:rFonts w:ascii="Arial" w:hAnsi="Arial" w:cs="Arial"/>
          <w:spacing w:val="-4"/>
          <w:szCs w:val="22"/>
        </w:rPr>
        <w:t xml:space="preserve">To </w:t>
      </w:r>
      <w:r>
        <w:rPr>
          <w:rFonts w:ascii="Arial" w:hAnsi="Arial" w:cs="Arial"/>
          <w:szCs w:val="22"/>
        </w:rPr>
        <w:t>seek approval for variance of building area after issuing formal valuation subject to total value of not less than USD235.9K after 100% completion of construction.</w:t>
      </w:r>
    </w:p>
    <w:p w14:paraId="261A35D0" w14:textId="77777777" w:rsidR="00020BA2" w:rsidRDefault="00020BA2" w:rsidP="00020BA2">
      <w:pPr>
        <w:pStyle w:val="ListParagraph"/>
        <w:spacing w:after="120"/>
        <w:jc w:val="both"/>
        <w:rPr>
          <w:rFonts w:ascii="Arial" w:hAnsi="Arial" w:cs="Arial"/>
          <w:szCs w:val="22"/>
        </w:rPr>
      </w:pPr>
    </w:p>
    <w:p w14:paraId="568F2FEC" w14:textId="77777777" w:rsidR="00020BA2" w:rsidRDefault="00020BA2" w:rsidP="00020BA2">
      <w:pPr>
        <w:spacing w:before="120" w:after="120" w:line="276" w:lineRule="auto"/>
        <w:ind w:left="60" w:right="115"/>
        <w:jc w:val="both"/>
        <w:rPr>
          <w:rFonts w:ascii="Arial" w:hAnsi="Arial" w:cs="Arial"/>
          <w:b/>
          <w:bCs/>
          <w:u w:val="single"/>
        </w:rPr>
      </w:pPr>
      <w:r>
        <w:rPr>
          <w:rFonts w:ascii="Arial" w:hAnsi="Arial" w:cs="Arial"/>
          <w:b/>
          <w:bCs/>
          <w:u w:val="single"/>
        </w:rPr>
        <w:t>Summary</w:t>
      </w:r>
    </w:p>
    <w:p w14:paraId="4E2E55E3" w14:textId="77777777" w:rsidR="00020BA2" w:rsidRDefault="00020BA2" w:rsidP="00020BA2">
      <w:pPr>
        <w:spacing w:before="120" w:after="120" w:line="276" w:lineRule="auto"/>
        <w:ind w:left="60" w:right="115"/>
        <w:jc w:val="both"/>
        <w:rPr>
          <w:rFonts w:ascii="Arial" w:hAnsi="Arial" w:cs="Arial"/>
          <w:b/>
          <w:bCs/>
          <w:u w:val="single"/>
        </w:rPr>
      </w:pPr>
    </w:p>
    <w:p w14:paraId="62A1C78B" w14:textId="77777777" w:rsidR="00020BA2" w:rsidRDefault="00020BA2" w:rsidP="00020BA2">
      <w:pPr>
        <w:pStyle w:val="ListParagraph"/>
        <w:numPr>
          <w:ilvl w:val="0"/>
          <w:numId w:val="3"/>
        </w:numPr>
        <w:spacing w:before="120" w:after="0" w:line="240" w:lineRule="auto"/>
        <w:ind w:right="115"/>
        <w:jc w:val="both"/>
        <w:rPr>
          <w:rFonts w:ascii="Arial" w:hAnsi="Arial" w:cs="Arial"/>
          <w:szCs w:val="22"/>
        </w:rPr>
      </w:pPr>
      <w:r>
        <w:rPr>
          <w:rFonts w:ascii="Arial" w:hAnsi="Arial" w:cs="Arial"/>
          <w:szCs w:val="22"/>
        </w:rPr>
        <w:t xml:space="preserve">The joint applicants Mr. Touch </w:t>
      </w:r>
      <w:proofErr w:type="spellStart"/>
      <w:r>
        <w:rPr>
          <w:rFonts w:ascii="Arial" w:hAnsi="Arial" w:cs="Arial"/>
          <w:szCs w:val="22"/>
        </w:rPr>
        <w:t>Ngorn</w:t>
      </w:r>
      <w:proofErr w:type="spellEnd"/>
      <w:r>
        <w:rPr>
          <w:rFonts w:ascii="Arial" w:hAnsi="Arial" w:cs="Arial"/>
          <w:szCs w:val="22"/>
        </w:rPr>
        <w:t xml:space="preserve"> (Age: 27) and Mdm. Touch </w:t>
      </w:r>
      <w:proofErr w:type="spellStart"/>
      <w:r>
        <w:rPr>
          <w:rFonts w:ascii="Arial" w:hAnsi="Arial" w:cs="Arial"/>
          <w:szCs w:val="22"/>
        </w:rPr>
        <w:t>Sreymom</w:t>
      </w:r>
      <w:proofErr w:type="spellEnd"/>
      <w:r>
        <w:rPr>
          <w:rFonts w:ascii="Arial" w:hAnsi="Arial" w:cs="Arial"/>
          <w:szCs w:val="22"/>
        </w:rPr>
        <w:t xml:space="preserve"> (Age: 45) are related as son and mother. Presently, Mr. Touch </w:t>
      </w:r>
      <w:proofErr w:type="spellStart"/>
      <w:r>
        <w:rPr>
          <w:rFonts w:ascii="Arial" w:hAnsi="Arial" w:cs="Arial"/>
          <w:szCs w:val="22"/>
        </w:rPr>
        <w:t>Ngorn</w:t>
      </w:r>
      <w:proofErr w:type="spellEnd"/>
      <w:r>
        <w:rPr>
          <w:rFonts w:ascii="Arial" w:hAnsi="Arial" w:cs="Arial"/>
          <w:szCs w:val="22"/>
        </w:rPr>
        <w:t xml:space="preserve"> running the business of phone shop known as </w:t>
      </w:r>
      <w:proofErr w:type="spellStart"/>
      <w:r>
        <w:rPr>
          <w:rFonts w:ascii="Arial" w:hAnsi="Arial" w:cs="Arial"/>
          <w:szCs w:val="22"/>
        </w:rPr>
        <w:t>Ngorn</w:t>
      </w:r>
      <w:proofErr w:type="spellEnd"/>
      <w:r>
        <w:rPr>
          <w:rFonts w:ascii="Arial" w:hAnsi="Arial" w:cs="Arial"/>
          <w:szCs w:val="22"/>
        </w:rPr>
        <w:t xml:space="preserve"> </w:t>
      </w:r>
      <w:proofErr w:type="spellStart"/>
      <w:r>
        <w:rPr>
          <w:rFonts w:ascii="Arial" w:hAnsi="Arial" w:cs="Arial"/>
          <w:szCs w:val="22"/>
        </w:rPr>
        <w:t>Sreng</w:t>
      </w:r>
      <w:proofErr w:type="spellEnd"/>
      <w:r>
        <w:rPr>
          <w:rFonts w:ascii="Arial" w:hAnsi="Arial" w:cs="Arial"/>
          <w:szCs w:val="22"/>
        </w:rPr>
        <w:t xml:space="preserve"> Phone Shop which official register with Phnom Penh Department of Commerce. Moreover, Mdm. Touch </w:t>
      </w:r>
      <w:proofErr w:type="spellStart"/>
      <w:r>
        <w:rPr>
          <w:rFonts w:ascii="Arial" w:hAnsi="Arial" w:cs="Arial"/>
          <w:szCs w:val="22"/>
        </w:rPr>
        <w:t>Sreymom</w:t>
      </w:r>
      <w:proofErr w:type="spellEnd"/>
      <w:r>
        <w:rPr>
          <w:rFonts w:ascii="Arial" w:hAnsi="Arial" w:cs="Arial"/>
          <w:szCs w:val="22"/>
        </w:rPr>
        <w:t xml:space="preserve"> has additional revenue from house rental.</w:t>
      </w:r>
    </w:p>
    <w:p w14:paraId="737116C7" w14:textId="77777777" w:rsidR="00020BA2" w:rsidRDefault="00020BA2" w:rsidP="00020BA2">
      <w:pPr>
        <w:pStyle w:val="ListParagraph"/>
        <w:numPr>
          <w:ilvl w:val="0"/>
          <w:numId w:val="3"/>
        </w:numPr>
        <w:spacing w:before="120"/>
        <w:ind w:right="115"/>
        <w:jc w:val="both"/>
        <w:rPr>
          <w:rFonts w:ascii="Arial" w:hAnsi="Arial" w:cs="Arial"/>
          <w:szCs w:val="22"/>
        </w:rPr>
      </w:pPr>
      <w:r>
        <w:rPr>
          <w:rFonts w:ascii="Arial" w:hAnsi="Arial" w:cs="Arial"/>
          <w:szCs w:val="22"/>
        </w:rPr>
        <w:t xml:space="preserve">The applicants have proposed MGN bank for purposely to construct 3 </w:t>
      </w:r>
      <w:proofErr w:type="spellStart"/>
      <w:r>
        <w:rPr>
          <w:rFonts w:ascii="Arial" w:hAnsi="Arial" w:cs="Arial"/>
          <w:szCs w:val="22"/>
        </w:rPr>
        <w:t>storey</w:t>
      </w:r>
      <w:proofErr w:type="spellEnd"/>
      <w:r>
        <w:rPr>
          <w:rFonts w:ascii="Arial" w:hAnsi="Arial" w:cs="Arial"/>
          <w:szCs w:val="22"/>
        </w:rPr>
        <w:t xml:space="preserve"> flat house with the total breakdown cost of USD88.3K (disclosed by applicant). </w:t>
      </w:r>
    </w:p>
    <w:p w14:paraId="5483D717" w14:textId="77777777" w:rsidR="00020BA2" w:rsidRDefault="00020BA2" w:rsidP="00020BA2">
      <w:pPr>
        <w:pStyle w:val="ListParagraph"/>
        <w:numPr>
          <w:ilvl w:val="0"/>
          <w:numId w:val="3"/>
        </w:numPr>
        <w:spacing w:before="120"/>
        <w:ind w:right="115"/>
        <w:jc w:val="both"/>
        <w:rPr>
          <w:rFonts w:ascii="Arial" w:hAnsi="Arial" w:cs="Arial"/>
          <w:szCs w:val="22"/>
        </w:rPr>
      </w:pPr>
      <w:r>
        <w:rPr>
          <w:rFonts w:ascii="Arial" w:hAnsi="Arial" w:cs="Arial"/>
          <w:szCs w:val="22"/>
        </w:rPr>
        <w:t>As per cross check the cost of construction by our 2 panels CPL and ARC with the cost of USD84.5K and USD94.5K respectively. Thus, the cost breakdown furnished by the applicants is reasonable and acceptable which is in the average of these 2 panels.</w:t>
      </w:r>
    </w:p>
    <w:p w14:paraId="60DF5E80" w14:textId="77777777" w:rsidR="00020BA2" w:rsidRDefault="00020BA2" w:rsidP="00020BA2">
      <w:pPr>
        <w:pStyle w:val="ListParagraph"/>
        <w:numPr>
          <w:ilvl w:val="0"/>
          <w:numId w:val="3"/>
        </w:numPr>
        <w:spacing w:before="120"/>
        <w:ind w:right="115"/>
        <w:jc w:val="both"/>
        <w:rPr>
          <w:rFonts w:ascii="Arial" w:hAnsi="Arial" w:cs="Arial"/>
          <w:szCs w:val="22"/>
        </w:rPr>
      </w:pPr>
      <w:r>
        <w:rPr>
          <w:rFonts w:ascii="Arial" w:hAnsi="Arial" w:cs="Arial"/>
          <w:szCs w:val="22"/>
        </w:rPr>
        <w:t xml:space="preserve">Presently, the applicants have 2 main income from phone shop and house rental. Moreover, after the 3 </w:t>
      </w:r>
      <w:proofErr w:type="spellStart"/>
      <w:r>
        <w:rPr>
          <w:rFonts w:ascii="Arial" w:hAnsi="Arial" w:cs="Arial"/>
          <w:szCs w:val="22"/>
        </w:rPr>
        <w:t>storey</w:t>
      </w:r>
      <w:proofErr w:type="spellEnd"/>
      <w:r>
        <w:rPr>
          <w:rFonts w:ascii="Arial" w:hAnsi="Arial" w:cs="Arial"/>
          <w:szCs w:val="22"/>
        </w:rPr>
        <w:t xml:space="preserve"> flat house completely constructed it will be occupied as room rental with the total 60 rooms.</w:t>
      </w:r>
    </w:p>
    <w:p w14:paraId="743949D6" w14:textId="77777777" w:rsidR="00020BA2" w:rsidRDefault="00020BA2" w:rsidP="00020BA2">
      <w:pPr>
        <w:pStyle w:val="ListParagraph"/>
        <w:numPr>
          <w:ilvl w:val="0"/>
          <w:numId w:val="3"/>
        </w:numPr>
        <w:spacing w:before="120"/>
        <w:ind w:right="115"/>
        <w:jc w:val="both"/>
        <w:rPr>
          <w:rFonts w:ascii="Arial" w:hAnsi="Arial" w:cs="Arial"/>
          <w:szCs w:val="22"/>
        </w:rPr>
      </w:pPr>
      <w:r>
        <w:rPr>
          <w:rFonts w:ascii="Arial" w:hAnsi="Arial" w:cs="Arial"/>
          <w:szCs w:val="22"/>
        </w:rPr>
        <w:t>As per furnished sale invoice (phone shop) for the last 5 months (Jan - May) the average monthly revenue amount of USD31,295 equal to 100% of the monthly sale revenue reported in income statemen (USD 31,295).</w:t>
      </w:r>
    </w:p>
    <w:p w14:paraId="54D281D0" w14:textId="77777777" w:rsidR="00020BA2" w:rsidRDefault="00020BA2" w:rsidP="00020BA2">
      <w:pPr>
        <w:pStyle w:val="ListParagraph"/>
        <w:numPr>
          <w:ilvl w:val="0"/>
          <w:numId w:val="3"/>
        </w:numPr>
        <w:spacing w:before="120"/>
        <w:ind w:right="115"/>
        <w:jc w:val="both"/>
        <w:rPr>
          <w:rFonts w:ascii="Arial" w:hAnsi="Arial" w:cs="Arial"/>
          <w:szCs w:val="22"/>
        </w:rPr>
      </w:pPr>
      <w:r>
        <w:rPr>
          <w:rFonts w:ascii="Arial" w:hAnsi="Arial" w:cs="Arial"/>
          <w:szCs w:val="22"/>
        </w:rPr>
        <w:t xml:space="preserve">As per furnished rental contract, the rental duration is up to 7 Years (16-Feb-17 to 15-Feb-24) with the agreed fee of USD500 for the first 2 year and will increase to USD 600 for the third year onward. Due to the rental house is owned by Mdm. Touch </w:t>
      </w:r>
      <w:proofErr w:type="spellStart"/>
      <w:r>
        <w:rPr>
          <w:rFonts w:ascii="Arial" w:hAnsi="Arial" w:cs="Arial"/>
          <w:szCs w:val="22"/>
        </w:rPr>
        <w:t>Chhayly</w:t>
      </w:r>
      <w:proofErr w:type="spellEnd"/>
      <w:r>
        <w:rPr>
          <w:rFonts w:ascii="Arial" w:hAnsi="Arial" w:cs="Arial"/>
          <w:szCs w:val="22"/>
        </w:rPr>
        <w:t xml:space="preserve"> and Mdm. Touch </w:t>
      </w:r>
      <w:proofErr w:type="spellStart"/>
      <w:r>
        <w:rPr>
          <w:rFonts w:ascii="Arial" w:hAnsi="Arial" w:cs="Arial"/>
          <w:szCs w:val="22"/>
        </w:rPr>
        <w:t>Sreymom</w:t>
      </w:r>
      <w:proofErr w:type="spellEnd"/>
      <w:r>
        <w:rPr>
          <w:rFonts w:ascii="Arial" w:hAnsi="Arial" w:cs="Arial"/>
          <w:szCs w:val="22"/>
        </w:rPr>
        <w:t>. Thus, the BU shared only 50% (USD 300) for revenue calculation.</w:t>
      </w:r>
    </w:p>
    <w:p w14:paraId="2ACAF822" w14:textId="77777777" w:rsidR="00020BA2" w:rsidRDefault="00020BA2" w:rsidP="00020BA2">
      <w:pPr>
        <w:pStyle w:val="ListParagraph"/>
        <w:numPr>
          <w:ilvl w:val="0"/>
          <w:numId w:val="3"/>
        </w:numPr>
        <w:spacing w:before="120"/>
        <w:ind w:right="115"/>
        <w:rPr>
          <w:rFonts w:ascii="Arial" w:hAnsi="Arial" w:cs="Arial"/>
          <w:szCs w:val="22"/>
        </w:rPr>
      </w:pPr>
      <w:r>
        <w:rPr>
          <w:rFonts w:ascii="Arial" w:hAnsi="Arial" w:cs="Arial"/>
          <w:szCs w:val="22"/>
        </w:rPr>
        <w:t>The current DSR is strong at 2.02x for 2019 (Jan – May) and DSR will be up to 2.42x in 2020 on additional income from room rental.</w:t>
      </w:r>
    </w:p>
    <w:tbl>
      <w:tblPr>
        <w:tblW w:w="7965" w:type="dxa"/>
        <w:tblInd w:w="607" w:type="dxa"/>
        <w:tblCellMar>
          <w:left w:w="0" w:type="dxa"/>
          <w:right w:w="0" w:type="dxa"/>
        </w:tblCellMar>
        <w:tblLook w:val="04A0" w:firstRow="1" w:lastRow="0" w:firstColumn="1" w:lastColumn="0" w:noHBand="0" w:noVBand="1"/>
      </w:tblPr>
      <w:tblGrid>
        <w:gridCol w:w="3519"/>
        <w:gridCol w:w="2223"/>
        <w:gridCol w:w="2223"/>
      </w:tblGrid>
      <w:tr w:rsidR="00020BA2" w14:paraId="064CFD3B" w14:textId="77777777" w:rsidTr="00020BA2">
        <w:trPr>
          <w:trHeight w:val="144"/>
        </w:trPr>
        <w:tc>
          <w:tcPr>
            <w:tcW w:w="35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79DF596" w14:textId="77777777" w:rsidR="00020BA2" w:rsidRDefault="00020BA2">
            <w:pPr>
              <w:rPr>
                <w:rFonts w:ascii="Arial" w:hAnsi="Arial" w:cs="Arial"/>
                <w:b/>
                <w:bCs/>
                <w:color w:val="000000"/>
                <w:sz w:val="20"/>
                <w:szCs w:val="20"/>
                <w:highlight w:val="yellow"/>
              </w:rPr>
            </w:pPr>
            <w:bookmarkStart w:id="1" w:name="_Hlk15053980"/>
            <w:r>
              <w:rPr>
                <w:rFonts w:ascii="Arial" w:hAnsi="Arial" w:cs="Arial"/>
                <w:b/>
                <w:bCs/>
                <w:color w:val="000000"/>
                <w:sz w:val="20"/>
                <w:szCs w:val="20"/>
              </w:rPr>
              <w:t>Revenue (USD)</w:t>
            </w:r>
          </w:p>
        </w:tc>
        <w:tc>
          <w:tcPr>
            <w:tcW w:w="22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1E34F0A" w14:textId="77777777" w:rsidR="00020BA2" w:rsidRDefault="00020BA2">
            <w:pPr>
              <w:jc w:val="center"/>
              <w:rPr>
                <w:rFonts w:ascii="Arial" w:hAnsi="Arial" w:cs="Arial"/>
                <w:b/>
                <w:bCs/>
                <w:color w:val="000000"/>
                <w:sz w:val="20"/>
                <w:szCs w:val="20"/>
                <w:highlight w:val="yellow"/>
              </w:rPr>
            </w:pPr>
            <w:r>
              <w:rPr>
                <w:rFonts w:ascii="Arial" w:hAnsi="Arial" w:cs="Arial"/>
                <w:b/>
                <w:bCs/>
                <w:color w:val="000000"/>
                <w:sz w:val="20"/>
                <w:szCs w:val="20"/>
              </w:rPr>
              <w:t>2019 (Jan - May)</w:t>
            </w:r>
          </w:p>
        </w:tc>
        <w:tc>
          <w:tcPr>
            <w:tcW w:w="22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85BFA6A" w14:textId="77777777" w:rsidR="00020BA2" w:rsidRDefault="00020BA2">
            <w:pPr>
              <w:jc w:val="center"/>
              <w:rPr>
                <w:rFonts w:ascii="Arial" w:hAnsi="Arial" w:cs="Arial"/>
                <w:b/>
                <w:bCs/>
                <w:color w:val="000000"/>
                <w:sz w:val="20"/>
                <w:szCs w:val="20"/>
              </w:rPr>
            </w:pPr>
            <w:r>
              <w:rPr>
                <w:rFonts w:ascii="Arial" w:hAnsi="Arial" w:cs="Arial"/>
                <w:b/>
                <w:bCs/>
                <w:color w:val="000000"/>
                <w:sz w:val="20"/>
                <w:szCs w:val="20"/>
              </w:rPr>
              <w:t>2020 (Jan-Dec)</w:t>
            </w:r>
          </w:p>
          <w:p w14:paraId="5BA28ECC" w14:textId="77777777" w:rsidR="00020BA2" w:rsidRDefault="00020BA2">
            <w:pPr>
              <w:jc w:val="center"/>
              <w:rPr>
                <w:rFonts w:ascii="Arial" w:hAnsi="Arial" w:cs="Arial"/>
                <w:b/>
                <w:bCs/>
                <w:color w:val="000000"/>
              </w:rPr>
            </w:pPr>
            <w:r>
              <w:rPr>
                <w:rFonts w:ascii="Arial" w:hAnsi="Arial" w:cs="Arial"/>
                <w:b/>
                <w:bCs/>
                <w:color w:val="000000"/>
                <w:sz w:val="20"/>
                <w:szCs w:val="20"/>
              </w:rPr>
              <w:t>Projection</w:t>
            </w:r>
          </w:p>
        </w:tc>
      </w:tr>
      <w:tr w:rsidR="00020BA2" w14:paraId="1F46AAD7" w14:textId="77777777" w:rsidTr="00020BA2">
        <w:trPr>
          <w:trHeight w:val="144"/>
        </w:trPr>
        <w:tc>
          <w:tcPr>
            <w:tcW w:w="35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29B8119" w14:textId="77777777" w:rsidR="00020BA2" w:rsidRDefault="00020BA2">
            <w:pPr>
              <w:rPr>
                <w:rFonts w:ascii="Arial" w:hAnsi="Arial" w:cs="Arial"/>
                <w:b/>
                <w:bCs/>
                <w:color w:val="000000"/>
              </w:rPr>
            </w:pPr>
            <w:r>
              <w:rPr>
                <w:rFonts w:ascii="Arial" w:hAnsi="Arial" w:cs="Arial"/>
                <w:b/>
                <w:bCs/>
                <w:color w:val="000000"/>
              </w:rPr>
              <w:t>Average Monthly Income</w:t>
            </w:r>
          </w:p>
        </w:tc>
        <w:tc>
          <w:tcPr>
            <w:tcW w:w="2222" w:type="dxa"/>
            <w:tcBorders>
              <w:top w:val="nil"/>
              <w:left w:val="nil"/>
              <w:bottom w:val="single" w:sz="8" w:space="0" w:color="auto"/>
              <w:right w:val="single" w:sz="8" w:space="0" w:color="auto"/>
            </w:tcBorders>
            <w:tcMar>
              <w:top w:w="0" w:type="dxa"/>
              <w:left w:w="108" w:type="dxa"/>
              <w:bottom w:w="0" w:type="dxa"/>
              <w:right w:w="108" w:type="dxa"/>
            </w:tcMar>
            <w:hideMark/>
          </w:tcPr>
          <w:p w14:paraId="32B46C8E" w14:textId="77777777" w:rsidR="00020BA2" w:rsidRDefault="00020BA2">
            <w:pPr>
              <w:jc w:val="right"/>
              <w:rPr>
                <w:rFonts w:ascii="Arial" w:hAnsi="Arial" w:cs="Arial"/>
                <w:b/>
                <w:bCs/>
                <w:color w:val="000000"/>
              </w:rPr>
            </w:pPr>
            <w:r>
              <w:rPr>
                <w:rFonts w:ascii="Arial" w:hAnsi="Arial" w:cs="Arial"/>
                <w:b/>
                <w:bCs/>
                <w:color w:val="000000"/>
              </w:rPr>
              <w:t>1,716.93</w:t>
            </w:r>
          </w:p>
        </w:tc>
        <w:tc>
          <w:tcPr>
            <w:tcW w:w="2222" w:type="dxa"/>
            <w:tcBorders>
              <w:top w:val="nil"/>
              <w:left w:val="nil"/>
              <w:bottom w:val="single" w:sz="8" w:space="0" w:color="auto"/>
              <w:right w:val="single" w:sz="8" w:space="0" w:color="auto"/>
            </w:tcBorders>
            <w:tcMar>
              <w:top w:w="0" w:type="dxa"/>
              <w:left w:w="108" w:type="dxa"/>
              <w:bottom w:w="0" w:type="dxa"/>
              <w:right w:w="108" w:type="dxa"/>
            </w:tcMar>
            <w:hideMark/>
          </w:tcPr>
          <w:p w14:paraId="4EB56092" w14:textId="77777777" w:rsidR="00020BA2" w:rsidRDefault="00020BA2">
            <w:pPr>
              <w:jc w:val="right"/>
              <w:rPr>
                <w:rFonts w:ascii="Arial" w:hAnsi="Arial" w:cs="Arial"/>
                <w:b/>
                <w:bCs/>
                <w:color w:val="000000"/>
                <w:highlight w:val="yellow"/>
              </w:rPr>
            </w:pPr>
            <w:r>
              <w:rPr>
                <w:rFonts w:ascii="Arial" w:hAnsi="Arial" w:cs="Arial"/>
                <w:b/>
                <w:bCs/>
                <w:color w:val="000000"/>
              </w:rPr>
              <w:t>2,052.47</w:t>
            </w:r>
          </w:p>
        </w:tc>
      </w:tr>
      <w:tr w:rsidR="00020BA2" w14:paraId="79C238B9" w14:textId="77777777" w:rsidTr="00020BA2">
        <w:trPr>
          <w:trHeight w:val="144"/>
        </w:trPr>
        <w:tc>
          <w:tcPr>
            <w:tcW w:w="35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14BFDC" w14:textId="77777777" w:rsidR="00020BA2" w:rsidRDefault="00020BA2">
            <w:pPr>
              <w:rPr>
                <w:rFonts w:ascii="Arial" w:hAnsi="Arial" w:cs="Arial"/>
                <w:b/>
                <w:bCs/>
                <w:color w:val="000000"/>
              </w:rPr>
            </w:pPr>
            <w:r>
              <w:rPr>
                <w:rFonts w:ascii="Arial" w:hAnsi="Arial" w:cs="Arial"/>
                <w:b/>
                <w:bCs/>
                <w:color w:val="000000"/>
              </w:rPr>
              <w:t xml:space="preserve">Bank Commitment </w:t>
            </w:r>
          </w:p>
        </w:tc>
        <w:tc>
          <w:tcPr>
            <w:tcW w:w="2222" w:type="dxa"/>
            <w:tcBorders>
              <w:top w:val="nil"/>
              <w:left w:val="nil"/>
              <w:bottom w:val="single" w:sz="8" w:space="0" w:color="auto"/>
              <w:right w:val="single" w:sz="8" w:space="0" w:color="auto"/>
            </w:tcBorders>
            <w:tcMar>
              <w:top w:w="0" w:type="dxa"/>
              <w:left w:w="108" w:type="dxa"/>
              <w:bottom w:w="0" w:type="dxa"/>
              <w:right w:w="108" w:type="dxa"/>
            </w:tcMar>
          </w:tcPr>
          <w:p w14:paraId="38115F3F" w14:textId="77777777" w:rsidR="00020BA2" w:rsidRDefault="00020BA2">
            <w:pPr>
              <w:jc w:val="right"/>
              <w:rPr>
                <w:rFonts w:ascii="Arial" w:hAnsi="Arial" w:cs="Arial"/>
                <w:color w:val="000000"/>
              </w:rPr>
            </w:pPr>
          </w:p>
        </w:tc>
        <w:tc>
          <w:tcPr>
            <w:tcW w:w="2222" w:type="dxa"/>
            <w:tcBorders>
              <w:top w:val="nil"/>
              <w:left w:val="nil"/>
              <w:bottom w:val="single" w:sz="8" w:space="0" w:color="auto"/>
              <w:right w:val="single" w:sz="8" w:space="0" w:color="auto"/>
            </w:tcBorders>
            <w:tcMar>
              <w:top w:w="0" w:type="dxa"/>
              <w:left w:w="108" w:type="dxa"/>
              <w:bottom w:w="0" w:type="dxa"/>
              <w:right w:w="108" w:type="dxa"/>
            </w:tcMar>
          </w:tcPr>
          <w:p w14:paraId="0D7FC556" w14:textId="77777777" w:rsidR="00020BA2" w:rsidRDefault="00020BA2">
            <w:pPr>
              <w:jc w:val="right"/>
              <w:rPr>
                <w:rFonts w:ascii="Arial" w:hAnsi="Arial" w:cs="Arial"/>
                <w:color w:val="000000"/>
              </w:rPr>
            </w:pPr>
          </w:p>
        </w:tc>
      </w:tr>
      <w:tr w:rsidR="00020BA2" w14:paraId="07B72693" w14:textId="77777777" w:rsidTr="00020BA2">
        <w:trPr>
          <w:trHeight w:val="144"/>
        </w:trPr>
        <w:tc>
          <w:tcPr>
            <w:tcW w:w="35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B071229" w14:textId="77777777" w:rsidR="00020BA2" w:rsidRDefault="00020BA2">
            <w:pPr>
              <w:rPr>
                <w:rFonts w:ascii="Arial" w:hAnsi="Arial" w:cs="Arial"/>
                <w:color w:val="000000"/>
              </w:rPr>
            </w:pPr>
            <w:r>
              <w:rPr>
                <w:rFonts w:ascii="Arial" w:hAnsi="Arial" w:cs="Arial"/>
                <w:color w:val="000000"/>
              </w:rPr>
              <w:lastRenderedPageBreak/>
              <w:t xml:space="preserve">TL1 of USD50K at M.G.N </w:t>
            </w:r>
          </w:p>
        </w:tc>
        <w:tc>
          <w:tcPr>
            <w:tcW w:w="222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507999" w14:textId="77777777" w:rsidR="00020BA2" w:rsidRDefault="00020BA2">
            <w:pPr>
              <w:jc w:val="right"/>
              <w:rPr>
                <w:rFonts w:ascii="Arial" w:hAnsi="Arial" w:cs="Arial"/>
                <w:color w:val="000000"/>
              </w:rPr>
            </w:pPr>
            <w:r>
              <w:rPr>
                <w:rFonts w:ascii="Arial" w:hAnsi="Arial" w:cs="Arial"/>
                <w:color w:val="000000"/>
              </w:rPr>
              <w:t>606.64</w:t>
            </w:r>
          </w:p>
        </w:tc>
        <w:tc>
          <w:tcPr>
            <w:tcW w:w="2222" w:type="dxa"/>
            <w:tcBorders>
              <w:top w:val="nil"/>
              <w:left w:val="nil"/>
              <w:bottom w:val="single" w:sz="8" w:space="0" w:color="auto"/>
              <w:right w:val="single" w:sz="8" w:space="0" w:color="auto"/>
            </w:tcBorders>
            <w:tcMar>
              <w:top w:w="0" w:type="dxa"/>
              <w:left w:w="108" w:type="dxa"/>
              <w:bottom w:w="0" w:type="dxa"/>
              <w:right w:w="108" w:type="dxa"/>
            </w:tcMar>
            <w:hideMark/>
          </w:tcPr>
          <w:p w14:paraId="2F55C018" w14:textId="77777777" w:rsidR="00020BA2" w:rsidRDefault="00020BA2">
            <w:pPr>
              <w:jc w:val="right"/>
              <w:rPr>
                <w:rFonts w:ascii="Arial" w:hAnsi="Arial" w:cs="Arial"/>
                <w:color w:val="000000"/>
              </w:rPr>
            </w:pPr>
            <w:r>
              <w:rPr>
                <w:rFonts w:ascii="Arial" w:hAnsi="Arial" w:cs="Arial"/>
                <w:color w:val="000000"/>
              </w:rPr>
              <w:t>606.64</w:t>
            </w:r>
          </w:p>
        </w:tc>
      </w:tr>
      <w:tr w:rsidR="00020BA2" w14:paraId="7F158367" w14:textId="77777777" w:rsidTr="00020BA2">
        <w:trPr>
          <w:trHeight w:val="144"/>
        </w:trPr>
        <w:tc>
          <w:tcPr>
            <w:tcW w:w="35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4F7E51" w14:textId="77777777" w:rsidR="00020BA2" w:rsidRDefault="00020BA2">
            <w:pPr>
              <w:rPr>
                <w:rFonts w:ascii="Arial" w:hAnsi="Arial" w:cs="Arial"/>
                <w:color w:val="000000"/>
              </w:rPr>
            </w:pPr>
            <w:r>
              <w:rPr>
                <w:rFonts w:ascii="Arial" w:hAnsi="Arial" w:cs="Arial"/>
                <w:color w:val="000000"/>
              </w:rPr>
              <w:t xml:space="preserve">TL2 of KHR80M at M.G.N </w:t>
            </w:r>
          </w:p>
        </w:tc>
        <w:tc>
          <w:tcPr>
            <w:tcW w:w="222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CADA3A5" w14:textId="77777777" w:rsidR="00020BA2" w:rsidRDefault="00020BA2">
            <w:pPr>
              <w:jc w:val="right"/>
              <w:rPr>
                <w:rFonts w:ascii="Arial" w:hAnsi="Arial" w:cs="Arial"/>
                <w:color w:val="000000"/>
              </w:rPr>
            </w:pPr>
            <w:r>
              <w:rPr>
                <w:rFonts w:ascii="Arial" w:hAnsi="Arial" w:cs="Arial"/>
                <w:color w:val="000000"/>
              </w:rPr>
              <w:t>242.66</w:t>
            </w:r>
          </w:p>
        </w:tc>
        <w:tc>
          <w:tcPr>
            <w:tcW w:w="2222" w:type="dxa"/>
            <w:tcBorders>
              <w:top w:val="nil"/>
              <w:left w:val="nil"/>
              <w:bottom w:val="single" w:sz="8" w:space="0" w:color="auto"/>
              <w:right w:val="single" w:sz="8" w:space="0" w:color="auto"/>
            </w:tcBorders>
            <w:tcMar>
              <w:top w:w="0" w:type="dxa"/>
              <w:left w:w="108" w:type="dxa"/>
              <w:bottom w:w="0" w:type="dxa"/>
              <w:right w:w="108" w:type="dxa"/>
            </w:tcMar>
            <w:hideMark/>
          </w:tcPr>
          <w:p w14:paraId="6C6BCFF3" w14:textId="77777777" w:rsidR="00020BA2" w:rsidRDefault="00020BA2">
            <w:pPr>
              <w:jc w:val="right"/>
              <w:rPr>
                <w:rFonts w:ascii="Arial" w:hAnsi="Arial" w:cs="Arial"/>
                <w:color w:val="000000"/>
              </w:rPr>
            </w:pPr>
            <w:r>
              <w:rPr>
                <w:rFonts w:ascii="Arial" w:hAnsi="Arial" w:cs="Arial"/>
                <w:color w:val="000000"/>
              </w:rPr>
              <w:t>242.66</w:t>
            </w:r>
          </w:p>
        </w:tc>
      </w:tr>
      <w:tr w:rsidR="00020BA2" w14:paraId="772732AB" w14:textId="77777777" w:rsidTr="00020BA2">
        <w:trPr>
          <w:trHeight w:val="144"/>
        </w:trPr>
        <w:tc>
          <w:tcPr>
            <w:tcW w:w="35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75EF66F" w14:textId="77777777" w:rsidR="00020BA2" w:rsidRDefault="00020BA2">
            <w:pPr>
              <w:rPr>
                <w:rFonts w:ascii="Arial" w:hAnsi="Arial" w:cs="Arial"/>
                <w:b/>
                <w:bCs/>
                <w:color w:val="000000"/>
              </w:rPr>
            </w:pPr>
            <w:r>
              <w:rPr>
                <w:rFonts w:ascii="Arial" w:hAnsi="Arial" w:cs="Arial"/>
                <w:b/>
                <w:bCs/>
                <w:color w:val="000000"/>
              </w:rPr>
              <w:t xml:space="preserve">Total Bank Commitment </w:t>
            </w:r>
          </w:p>
        </w:tc>
        <w:tc>
          <w:tcPr>
            <w:tcW w:w="222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20EF72" w14:textId="77777777" w:rsidR="00020BA2" w:rsidRDefault="00020BA2">
            <w:pPr>
              <w:jc w:val="right"/>
              <w:rPr>
                <w:rFonts w:ascii="Arial" w:hAnsi="Arial" w:cs="Arial"/>
                <w:b/>
                <w:bCs/>
                <w:color w:val="000000"/>
              </w:rPr>
            </w:pPr>
            <w:r>
              <w:rPr>
                <w:rFonts w:ascii="Arial" w:hAnsi="Arial" w:cs="Arial"/>
                <w:b/>
                <w:bCs/>
                <w:color w:val="000000"/>
              </w:rPr>
              <w:t>849.3</w:t>
            </w:r>
          </w:p>
        </w:tc>
        <w:tc>
          <w:tcPr>
            <w:tcW w:w="2222" w:type="dxa"/>
            <w:tcBorders>
              <w:top w:val="nil"/>
              <w:left w:val="nil"/>
              <w:bottom w:val="single" w:sz="8" w:space="0" w:color="auto"/>
              <w:right w:val="single" w:sz="8" w:space="0" w:color="auto"/>
            </w:tcBorders>
            <w:tcMar>
              <w:top w:w="0" w:type="dxa"/>
              <w:left w:w="108" w:type="dxa"/>
              <w:bottom w:w="0" w:type="dxa"/>
              <w:right w:w="108" w:type="dxa"/>
            </w:tcMar>
            <w:hideMark/>
          </w:tcPr>
          <w:p w14:paraId="378EAA47" w14:textId="77777777" w:rsidR="00020BA2" w:rsidRDefault="00020BA2">
            <w:pPr>
              <w:jc w:val="right"/>
              <w:rPr>
                <w:rFonts w:ascii="Arial" w:hAnsi="Arial" w:cs="Arial"/>
                <w:b/>
                <w:bCs/>
                <w:color w:val="000000"/>
              </w:rPr>
            </w:pPr>
            <w:r>
              <w:rPr>
                <w:rFonts w:ascii="Arial" w:hAnsi="Arial" w:cs="Arial"/>
                <w:b/>
                <w:bCs/>
                <w:color w:val="000000"/>
              </w:rPr>
              <w:t>849.3</w:t>
            </w:r>
          </w:p>
        </w:tc>
      </w:tr>
      <w:tr w:rsidR="00020BA2" w14:paraId="1ACE4F03" w14:textId="77777777" w:rsidTr="00020BA2">
        <w:trPr>
          <w:trHeight w:val="144"/>
        </w:trPr>
        <w:tc>
          <w:tcPr>
            <w:tcW w:w="35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5CFB1E6" w14:textId="77777777" w:rsidR="00020BA2" w:rsidRDefault="00020BA2">
            <w:pPr>
              <w:rPr>
                <w:rFonts w:ascii="Arial" w:hAnsi="Arial" w:cs="Arial"/>
                <w:b/>
                <w:bCs/>
                <w:color w:val="000000"/>
              </w:rPr>
            </w:pPr>
            <w:r>
              <w:rPr>
                <w:rFonts w:ascii="Arial" w:hAnsi="Arial" w:cs="Arial"/>
                <w:b/>
                <w:bCs/>
                <w:color w:val="000000"/>
              </w:rPr>
              <w:t>DSR</w:t>
            </w:r>
          </w:p>
        </w:tc>
        <w:tc>
          <w:tcPr>
            <w:tcW w:w="2222" w:type="dxa"/>
            <w:tcBorders>
              <w:top w:val="nil"/>
              <w:left w:val="nil"/>
              <w:bottom w:val="single" w:sz="8" w:space="0" w:color="auto"/>
              <w:right w:val="single" w:sz="8" w:space="0" w:color="auto"/>
            </w:tcBorders>
            <w:tcMar>
              <w:top w:w="0" w:type="dxa"/>
              <w:left w:w="108" w:type="dxa"/>
              <w:bottom w:w="0" w:type="dxa"/>
              <w:right w:w="108" w:type="dxa"/>
            </w:tcMar>
            <w:hideMark/>
          </w:tcPr>
          <w:p w14:paraId="7BE88E0E" w14:textId="77777777" w:rsidR="00020BA2" w:rsidRDefault="00020BA2">
            <w:pPr>
              <w:jc w:val="right"/>
              <w:rPr>
                <w:rFonts w:ascii="Arial" w:hAnsi="Arial" w:cs="Arial"/>
                <w:b/>
                <w:bCs/>
                <w:color w:val="000000"/>
              </w:rPr>
            </w:pPr>
            <w:r>
              <w:rPr>
                <w:rFonts w:ascii="Arial" w:hAnsi="Arial" w:cs="Arial"/>
                <w:b/>
                <w:bCs/>
                <w:color w:val="000000"/>
              </w:rPr>
              <w:t>2.02x</w:t>
            </w:r>
          </w:p>
        </w:tc>
        <w:tc>
          <w:tcPr>
            <w:tcW w:w="2222" w:type="dxa"/>
            <w:tcBorders>
              <w:top w:val="nil"/>
              <w:left w:val="nil"/>
              <w:bottom w:val="single" w:sz="8" w:space="0" w:color="auto"/>
              <w:right w:val="single" w:sz="8" w:space="0" w:color="auto"/>
            </w:tcBorders>
            <w:tcMar>
              <w:top w:w="0" w:type="dxa"/>
              <w:left w:w="108" w:type="dxa"/>
              <w:bottom w:w="0" w:type="dxa"/>
              <w:right w:w="108" w:type="dxa"/>
            </w:tcMar>
            <w:hideMark/>
          </w:tcPr>
          <w:p w14:paraId="239EB68F" w14:textId="77777777" w:rsidR="00020BA2" w:rsidRDefault="00020BA2">
            <w:pPr>
              <w:jc w:val="right"/>
              <w:rPr>
                <w:rFonts w:ascii="Arial" w:hAnsi="Arial" w:cs="Arial"/>
                <w:b/>
                <w:bCs/>
                <w:color w:val="000000"/>
              </w:rPr>
            </w:pPr>
            <w:r>
              <w:rPr>
                <w:rFonts w:ascii="Arial" w:hAnsi="Arial" w:cs="Arial"/>
                <w:b/>
                <w:bCs/>
                <w:color w:val="000000"/>
              </w:rPr>
              <w:t>2.42x</w:t>
            </w:r>
          </w:p>
        </w:tc>
      </w:tr>
    </w:tbl>
    <w:bookmarkEnd w:id="1"/>
    <w:p w14:paraId="77B9EF5E" w14:textId="77777777" w:rsidR="00020BA2" w:rsidRDefault="00020BA2" w:rsidP="00020BA2">
      <w:pPr>
        <w:pStyle w:val="ListParagraph"/>
        <w:numPr>
          <w:ilvl w:val="0"/>
          <w:numId w:val="3"/>
        </w:numPr>
        <w:spacing w:before="120"/>
        <w:rPr>
          <w:rFonts w:ascii="Times New Roman" w:eastAsia="Times New Roman" w:hAnsi="Times New Roman" w:cs="Times New Roman"/>
          <w:sz w:val="20"/>
          <w:szCs w:val="20"/>
        </w:rPr>
      </w:pPr>
      <w:r>
        <w:rPr>
          <w:rFonts w:ascii="Arial" w:hAnsi="Arial" w:cs="Arial"/>
          <w:szCs w:val="22"/>
        </w:rPr>
        <w:t>However, if their net income drops down 30%</w:t>
      </w:r>
      <w:r>
        <w:t xml:space="preserve"> </w:t>
      </w:r>
      <w:r>
        <w:rPr>
          <w:rFonts w:ascii="Arial" w:hAnsi="Arial" w:cs="Arial"/>
          <w:szCs w:val="22"/>
        </w:rPr>
        <w:t xml:space="preserve">from the current year, the sensitized DSR shall be acceptable at 1.69x. </w:t>
      </w:r>
    </w:p>
    <w:p w14:paraId="3320DBB7" w14:textId="77777777" w:rsidR="00020BA2" w:rsidRDefault="00020BA2" w:rsidP="00020BA2">
      <w:pPr>
        <w:pStyle w:val="ListParagraph"/>
        <w:numPr>
          <w:ilvl w:val="0"/>
          <w:numId w:val="3"/>
        </w:numPr>
        <w:spacing w:before="120"/>
        <w:jc w:val="both"/>
        <w:rPr>
          <w:rFonts w:ascii="Arial" w:hAnsi="Arial" w:cs="Arial"/>
          <w:szCs w:val="22"/>
        </w:rPr>
      </w:pPr>
      <w:r>
        <w:rPr>
          <w:rFonts w:ascii="Arial" w:hAnsi="Arial" w:cs="Arial"/>
          <w:szCs w:val="22"/>
        </w:rPr>
        <w:t xml:space="preserve">The property to be charged to the bank is a vacant land to be constructed as a 3 </w:t>
      </w:r>
      <w:proofErr w:type="spellStart"/>
      <w:r>
        <w:rPr>
          <w:rFonts w:ascii="Arial" w:hAnsi="Arial" w:cs="Arial"/>
          <w:szCs w:val="22"/>
        </w:rPr>
        <w:t>storey</w:t>
      </w:r>
      <w:proofErr w:type="spellEnd"/>
      <w:r>
        <w:rPr>
          <w:rFonts w:ascii="Arial" w:hAnsi="Arial" w:cs="Arial"/>
          <w:szCs w:val="22"/>
        </w:rPr>
        <w:t xml:space="preserve"> flat house. This property is classified as a Residential Grade B which can offer 50% for vacant land and 70% for building</w:t>
      </w:r>
      <w:r>
        <w:rPr>
          <w:rFonts w:ascii="Arial" w:hAnsi="Arial" w:cs="Arial"/>
        </w:rPr>
        <w:t>.</w:t>
      </w:r>
    </w:p>
    <w:p w14:paraId="0E99CAFC" w14:textId="77777777" w:rsidR="00020BA2" w:rsidRDefault="00020BA2" w:rsidP="00020BA2">
      <w:pPr>
        <w:pStyle w:val="ListParagraph"/>
        <w:numPr>
          <w:ilvl w:val="0"/>
          <w:numId w:val="3"/>
        </w:numPr>
        <w:spacing w:before="120"/>
        <w:ind w:right="115"/>
        <w:jc w:val="both"/>
        <w:rPr>
          <w:rFonts w:ascii="Arial" w:eastAsia="Times New Roman" w:hAnsi="Arial" w:cs="Arial"/>
          <w:szCs w:val="22"/>
        </w:rPr>
      </w:pPr>
      <w:r>
        <w:rPr>
          <w:rFonts w:ascii="Arial" w:hAnsi="Arial" w:cs="Arial"/>
          <w:szCs w:val="22"/>
        </w:rPr>
        <w:t>The proposed facilities total amount of USD70K will derived the Loan to Value (LTV) equal to 36.14% when the building is 100%completed.</w:t>
      </w:r>
    </w:p>
    <w:p w14:paraId="3D0CCE4F" w14:textId="77777777" w:rsidR="00020BA2" w:rsidRDefault="00020BA2" w:rsidP="00020BA2">
      <w:pPr>
        <w:pStyle w:val="ListParagraph"/>
        <w:spacing w:before="120" w:after="0" w:line="240" w:lineRule="auto"/>
        <w:jc w:val="both"/>
        <w:rPr>
          <w:rFonts w:ascii="Arial" w:hAnsi="Arial" w:cs="Arial"/>
          <w:szCs w:val="22"/>
        </w:rPr>
      </w:pPr>
    </w:p>
    <w:tbl>
      <w:tblPr>
        <w:tblW w:w="8550" w:type="dxa"/>
        <w:tblInd w:w="607" w:type="dxa"/>
        <w:tblCellMar>
          <w:left w:w="0" w:type="dxa"/>
          <w:right w:w="0" w:type="dxa"/>
        </w:tblCellMar>
        <w:tblLook w:val="04A0" w:firstRow="1" w:lastRow="0" w:firstColumn="1" w:lastColumn="0" w:noHBand="0" w:noVBand="1"/>
      </w:tblPr>
      <w:tblGrid>
        <w:gridCol w:w="720"/>
        <w:gridCol w:w="1170"/>
        <w:gridCol w:w="1890"/>
        <w:gridCol w:w="1260"/>
        <w:gridCol w:w="1170"/>
        <w:gridCol w:w="1170"/>
        <w:gridCol w:w="1170"/>
      </w:tblGrid>
      <w:tr w:rsidR="00020BA2" w14:paraId="634916D9" w14:textId="77777777" w:rsidTr="00020BA2">
        <w:tc>
          <w:tcPr>
            <w:tcW w:w="7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F537F59" w14:textId="77777777" w:rsidR="00020BA2" w:rsidRDefault="00020BA2">
            <w:pPr>
              <w:spacing w:line="276" w:lineRule="auto"/>
              <w:ind w:right="109"/>
              <w:rPr>
                <w:rFonts w:ascii="Arial" w:hAnsi="Arial" w:cs="Arial"/>
                <w:b/>
                <w:bCs/>
                <w:sz w:val="20"/>
                <w:szCs w:val="20"/>
              </w:rPr>
            </w:pPr>
            <w:r>
              <w:rPr>
                <w:rFonts w:ascii="Arial" w:hAnsi="Arial" w:cs="Arial"/>
                <w:b/>
                <w:bCs/>
                <w:sz w:val="20"/>
                <w:szCs w:val="20"/>
              </w:rPr>
              <w:t>No.</w:t>
            </w:r>
          </w:p>
        </w:tc>
        <w:tc>
          <w:tcPr>
            <w:tcW w:w="11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493A39" w14:textId="77777777" w:rsidR="00020BA2" w:rsidRDefault="00020BA2">
            <w:pPr>
              <w:spacing w:line="276" w:lineRule="auto"/>
              <w:ind w:right="109"/>
              <w:jc w:val="both"/>
              <w:rPr>
                <w:rFonts w:ascii="Arial" w:hAnsi="Arial" w:cs="Arial"/>
                <w:b/>
                <w:bCs/>
                <w:sz w:val="20"/>
                <w:szCs w:val="20"/>
              </w:rPr>
            </w:pPr>
            <w:r>
              <w:rPr>
                <w:rFonts w:ascii="Arial" w:hAnsi="Arial" w:cs="Arial"/>
                <w:b/>
                <w:bCs/>
                <w:sz w:val="20"/>
                <w:szCs w:val="20"/>
              </w:rPr>
              <w:t>Property Type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14B5BB8" w14:textId="77777777" w:rsidR="00020BA2" w:rsidRDefault="00020BA2">
            <w:pPr>
              <w:spacing w:line="276" w:lineRule="auto"/>
              <w:ind w:right="109"/>
              <w:jc w:val="both"/>
              <w:rPr>
                <w:rFonts w:ascii="Arial" w:hAnsi="Arial" w:cs="Arial"/>
                <w:b/>
                <w:bCs/>
                <w:sz w:val="20"/>
                <w:szCs w:val="20"/>
              </w:rPr>
            </w:pPr>
            <w:r>
              <w:rPr>
                <w:rFonts w:ascii="Arial" w:hAnsi="Arial" w:cs="Arial"/>
                <w:b/>
                <w:bCs/>
                <w:sz w:val="20"/>
                <w:szCs w:val="20"/>
              </w:rPr>
              <w:t>Address</w:t>
            </w:r>
          </w:p>
        </w:tc>
        <w:tc>
          <w:tcPr>
            <w:tcW w:w="12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30A98D5" w14:textId="77777777" w:rsidR="00020BA2" w:rsidRDefault="00020BA2">
            <w:pPr>
              <w:spacing w:line="276" w:lineRule="auto"/>
              <w:ind w:right="109"/>
              <w:jc w:val="center"/>
              <w:rPr>
                <w:rFonts w:ascii="Arial" w:hAnsi="Arial" w:cs="Arial"/>
                <w:b/>
                <w:bCs/>
                <w:sz w:val="20"/>
                <w:szCs w:val="20"/>
              </w:rPr>
            </w:pPr>
            <w:r>
              <w:rPr>
                <w:rFonts w:ascii="Arial" w:hAnsi="Arial" w:cs="Arial"/>
                <w:b/>
                <w:bCs/>
                <w:sz w:val="20"/>
                <w:szCs w:val="20"/>
              </w:rPr>
              <w:t>OMV (USD)</w:t>
            </w:r>
          </w:p>
          <w:p w14:paraId="6895E7F0" w14:textId="77777777" w:rsidR="00020BA2" w:rsidRDefault="00020BA2">
            <w:pPr>
              <w:spacing w:line="276" w:lineRule="auto"/>
              <w:ind w:right="109"/>
              <w:jc w:val="center"/>
              <w:rPr>
                <w:rFonts w:ascii="Arial" w:hAnsi="Arial" w:cs="Arial"/>
                <w:b/>
                <w:bCs/>
                <w:sz w:val="20"/>
                <w:szCs w:val="20"/>
              </w:rPr>
            </w:pPr>
            <w:r>
              <w:rPr>
                <w:rFonts w:ascii="Arial" w:hAnsi="Arial" w:cs="Arial"/>
                <w:b/>
                <w:bCs/>
                <w:sz w:val="20"/>
                <w:szCs w:val="20"/>
              </w:rPr>
              <w:t>(Current)</w:t>
            </w:r>
          </w:p>
        </w:tc>
        <w:tc>
          <w:tcPr>
            <w:tcW w:w="11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9EFC3BE" w14:textId="77777777" w:rsidR="00020BA2" w:rsidRDefault="00020BA2">
            <w:pPr>
              <w:spacing w:line="276" w:lineRule="auto"/>
              <w:ind w:right="109"/>
              <w:jc w:val="center"/>
              <w:rPr>
                <w:rFonts w:ascii="Arial" w:hAnsi="Arial" w:cs="Arial"/>
                <w:b/>
                <w:bCs/>
                <w:sz w:val="20"/>
                <w:szCs w:val="20"/>
              </w:rPr>
            </w:pPr>
            <w:r>
              <w:rPr>
                <w:rFonts w:ascii="Arial" w:hAnsi="Arial" w:cs="Arial"/>
                <w:b/>
                <w:bCs/>
                <w:sz w:val="20"/>
                <w:szCs w:val="20"/>
              </w:rPr>
              <w:t>OMV (USD)</w:t>
            </w:r>
          </w:p>
          <w:p w14:paraId="5E353CE5" w14:textId="77777777" w:rsidR="00020BA2" w:rsidRDefault="00020BA2">
            <w:pPr>
              <w:spacing w:line="276" w:lineRule="auto"/>
              <w:ind w:right="109"/>
              <w:jc w:val="center"/>
              <w:rPr>
                <w:rFonts w:ascii="Arial" w:hAnsi="Arial" w:cs="Arial"/>
                <w:b/>
                <w:bCs/>
                <w:sz w:val="20"/>
                <w:szCs w:val="20"/>
              </w:rPr>
            </w:pPr>
            <w:r>
              <w:rPr>
                <w:rFonts w:ascii="Arial" w:hAnsi="Arial" w:cs="Arial"/>
                <w:b/>
                <w:bCs/>
                <w:sz w:val="20"/>
                <w:szCs w:val="20"/>
              </w:rPr>
              <w:t>(Future)</w:t>
            </w:r>
          </w:p>
        </w:tc>
        <w:tc>
          <w:tcPr>
            <w:tcW w:w="11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6DF41C" w14:textId="77777777" w:rsidR="00020BA2" w:rsidRDefault="00020BA2">
            <w:pPr>
              <w:spacing w:line="276" w:lineRule="auto"/>
              <w:ind w:right="109"/>
              <w:jc w:val="center"/>
              <w:rPr>
                <w:rFonts w:ascii="Arial" w:hAnsi="Arial" w:cs="Arial"/>
                <w:b/>
                <w:bCs/>
                <w:sz w:val="20"/>
                <w:szCs w:val="20"/>
              </w:rPr>
            </w:pPr>
            <w:r>
              <w:rPr>
                <w:rFonts w:ascii="Arial" w:hAnsi="Arial" w:cs="Arial"/>
                <w:b/>
                <w:bCs/>
                <w:sz w:val="20"/>
                <w:szCs w:val="20"/>
              </w:rPr>
              <w:t>Max LTV (USD) 50%</w:t>
            </w:r>
          </w:p>
        </w:tc>
        <w:tc>
          <w:tcPr>
            <w:tcW w:w="11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43AA4A0" w14:textId="77777777" w:rsidR="00020BA2" w:rsidRDefault="00020BA2">
            <w:pPr>
              <w:spacing w:line="276" w:lineRule="auto"/>
              <w:ind w:right="109"/>
              <w:jc w:val="center"/>
              <w:rPr>
                <w:rFonts w:ascii="Arial" w:hAnsi="Arial" w:cs="Arial"/>
                <w:b/>
                <w:bCs/>
                <w:sz w:val="20"/>
                <w:szCs w:val="20"/>
              </w:rPr>
            </w:pPr>
            <w:r>
              <w:rPr>
                <w:rFonts w:ascii="Arial" w:hAnsi="Arial" w:cs="Arial"/>
                <w:b/>
                <w:bCs/>
                <w:sz w:val="20"/>
                <w:szCs w:val="20"/>
              </w:rPr>
              <w:t>Max LTV (USD)</w:t>
            </w:r>
          </w:p>
          <w:p w14:paraId="58CA486B" w14:textId="77777777" w:rsidR="00020BA2" w:rsidRDefault="00020BA2">
            <w:pPr>
              <w:spacing w:line="360" w:lineRule="auto"/>
              <w:jc w:val="center"/>
              <w:rPr>
                <w:rFonts w:ascii="Arial" w:hAnsi="Arial" w:cs="Arial"/>
                <w:b/>
                <w:bCs/>
                <w:sz w:val="20"/>
                <w:szCs w:val="20"/>
              </w:rPr>
            </w:pPr>
            <w:r>
              <w:rPr>
                <w:rFonts w:ascii="Arial" w:hAnsi="Arial" w:cs="Arial"/>
                <w:b/>
                <w:bCs/>
                <w:sz w:val="20"/>
                <w:szCs w:val="20"/>
              </w:rPr>
              <w:t>70%</w:t>
            </w:r>
          </w:p>
        </w:tc>
      </w:tr>
      <w:tr w:rsidR="00020BA2" w14:paraId="2E137C23" w14:textId="77777777" w:rsidTr="00020BA2">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FE64D8" w14:textId="77777777" w:rsidR="00020BA2" w:rsidRDefault="00020BA2">
            <w:pPr>
              <w:spacing w:line="276" w:lineRule="auto"/>
              <w:ind w:right="109"/>
              <w:jc w:val="both"/>
              <w:rPr>
                <w:rFonts w:ascii="Arial" w:hAnsi="Arial" w:cs="Arial"/>
                <w:sz w:val="20"/>
                <w:szCs w:val="20"/>
              </w:rPr>
            </w:pPr>
            <w:r>
              <w:rPr>
                <w:rFonts w:ascii="Arial" w:hAnsi="Arial" w:cs="Arial"/>
                <w:sz w:val="20"/>
                <w:szCs w:val="20"/>
              </w:rPr>
              <w:t>1</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B6F5610" w14:textId="77777777" w:rsidR="00020BA2" w:rsidRDefault="00020BA2">
            <w:pPr>
              <w:spacing w:line="276" w:lineRule="auto"/>
              <w:ind w:right="109"/>
              <w:rPr>
                <w:rFonts w:ascii="Arial" w:hAnsi="Arial" w:cs="Arial"/>
                <w:sz w:val="20"/>
                <w:szCs w:val="20"/>
              </w:rPr>
            </w:pPr>
            <w:r>
              <w:rPr>
                <w:rFonts w:ascii="Arial" w:hAnsi="Arial" w:cs="Arial"/>
                <w:sz w:val="20"/>
                <w:szCs w:val="20"/>
              </w:rPr>
              <w:t>Vacant Land</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49456201" w14:textId="77777777" w:rsidR="00020BA2" w:rsidRDefault="00020BA2">
            <w:pPr>
              <w:spacing w:line="276" w:lineRule="auto"/>
              <w:ind w:right="109"/>
              <w:rPr>
                <w:rFonts w:ascii="Arial" w:hAnsi="Arial" w:cs="Arial"/>
                <w:sz w:val="20"/>
                <w:szCs w:val="20"/>
              </w:rPr>
            </w:pPr>
            <w:r>
              <w:rPr>
                <w:rFonts w:ascii="Arial" w:hAnsi="Arial" w:cs="Arial"/>
                <w:sz w:val="20"/>
                <w:szCs w:val="20"/>
              </w:rPr>
              <w:t xml:space="preserve">S/K </w:t>
            </w:r>
            <w:proofErr w:type="spellStart"/>
            <w:r>
              <w:rPr>
                <w:rFonts w:ascii="Arial" w:hAnsi="Arial" w:cs="Arial"/>
                <w:sz w:val="20"/>
                <w:szCs w:val="20"/>
              </w:rPr>
              <w:t>Steung</w:t>
            </w:r>
            <w:proofErr w:type="spellEnd"/>
            <w:r>
              <w:rPr>
                <w:rFonts w:ascii="Arial" w:hAnsi="Arial" w:cs="Arial"/>
                <w:sz w:val="20"/>
                <w:szCs w:val="20"/>
              </w:rPr>
              <w:t xml:space="preserve"> Meanchey, Khan Meanchey, PP.</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05CD9111" w14:textId="77777777" w:rsidR="00020BA2" w:rsidRDefault="00020BA2">
            <w:pPr>
              <w:spacing w:line="276" w:lineRule="auto"/>
              <w:ind w:right="109"/>
              <w:jc w:val="center"/>
              <w:rPr>
                <w:rFonts w:ascii="Arial" w:hAnsi="Arial" w:cs="Arial"/>
                <w:b/>
                <w:bCs/>
                <w:sz w:val="20"/>
                <w:szCs w:val="20"/>
              </w:rPr>
            </w:pPr>
            <w:r>
              <w:rPr>
                <w:rFonts w:ascii="Arial" w:hAnsi="Arial" w:cs="Arial"/>
                <w:b/>
                <w:bCs/>
                <w:sz w:val="20"/>
                <w:szCs w:val="20"/>
              </w:rPr>
              <w:t>109.2K</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3A42DE57" w14:textId="77777777" w:rsidR="00020BA2" w:rsidRDefault="00020BA2">
            <w:pPr>
              <w:jc w:val="center"/>
              <w:rPr>
                <w:rFonts w:ascii="Arial" w:hAnsi="Arial" w:cs="Arial"/>
                <w:b/>
                <w:bCs/>
                <w:sz w:val="20"/>
                <w:szCs w:val="20"/>
              </w:rPr>
            </w:pPr>
            <w:r>
              <w:rPr>
                <w:rFonts w:ascii="Arial" w:hAnsi="Arial" w:cs="Arial"/>
                <w:b/>
                <w:bCs/>
                <w:sz w:val="20"/>
                <w:szCs w:val="20"/>
              </w:rPr>
              <w:t>193.68K</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32588D0B" w14:textId="77777777" w:rsidR="00020BA2" w:rsidRDefault="00020BA2">
            <w:pPr>
              <w:jc w:val="center"/>
              <w:rPr>
                <w:rFonts w:ascii="Arial" w:hAnsi="Arial" w:cs="Arial"/>
                <w:b/>
                <w:bCs/>
                <w:sz w:val="20"/>
                <w:szCs w:val="20"/>
              </w:rPr>
            </w:pPr>
            <w:r>
              <w:rPr>
                <w:rFonts w:ascii="Arial" w:hAnsi="Arial" w:cs="Arial"/>
                <w:b/>
                <w:bCs/>
                <w:sz w:val="20"/>
                <w:szCs w:val="20"/>
              </w:rPr>
              <w:t>54.6K</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A27A5E2" w14:textId="77777777" w:rsidR="00020BA2" w:rsidRDefault="00020BA2">
            <w:pPr>
              <w:jc w:val="center"/>
              <w:rPr>
                <w:rFonts w:ascii="Arial" w:hAnsi="Arial" w:cs="Arial"/>
                <w:b/>
                <w:bCs/>
                <w:sz w:val="20"/>
                <w:szCs w:val="20"/>
              </w:rPr>
            </w:pPr>
            <w:r>
              <w:rPr>
                <w:rFonts w:ascii="Arial" w:hAnsi="Arial" w:cs="Arial"/>
                <w:b/>
                <w:bCs/>
                <w:sz w:val="20"/>
                <w:szCs w:val="20"/>
              </w:rPr>
              <w:t>135.58K</w:t>
            </w:r>
          </w:p>
        </w:tc>
      </w:tr>
    </w:tbl>
    <w:p w14:paraId="3C8E048F" w14:textId="77777777" w:rsidR="00020BA2" w:rsidRDefault="00020BA2" w:rsidP="00020BA2">
      <w:pPr>
        <w:pStyle w:val="ListParagraph"/>
        <w:numPr>
          <w:ilvl w:val="0"/>
          <w:numId w:val="3"/>
        </w:numPr>
        <w:spacing w:before="120"/>
        <w:ind w:right="115"/>
        <w:jc w:val="both"/>
        <w:rPr>
          <w:rFonts w:ascii="Arial" w:hAnsi="Arial" w:cs="Arial"/>
          <w:szCs w:val="22"/>
        </w:rPr>
      </w:pPr>
      <w:r>
        <w:rPr>
          <w:rFonts w:ascii="Arial" w:hAnsi="Arial" w:cs="Arial"/>
          <w:color w:val="FFFFFF"/>
          <w:szCs w:val="22"/>
        </w:rPr>
        <w:t xml:space="preserve">As per CBC check on 29 July 2019, there’s no borrowings with any other bank and no adversities noted.  </w:t>
      </w:r>
    </w:p>
    <w:p w14:paraId="2F51C47B" w14:textId="77777777" w:rsidR="00020BA2" w:rsidRDefault="00020BA2" w:rsidP="00020BA2">
      <w:pPr>
        <w:pStyle w:val="ListParagraph"/>
        <w:spacing w:before="120"/>
        <w:ind w:left="326" w:right="115"/>
        <w:jc w:val="both"/>
        <w:rPr>
          <w:rFonts w:ascii="Times New Roman" w:eastAsia="Times New Roman" w:hAnsi="Times New Roman" w:cs="Times New Roman"/>
          <w:b/>
          <w:bCs/>
          <w:sz w:val="24"/>
          <w:szCs w:val="24"/>
          <w:u w:val="single"/>
        </w:rPr>
      </w:pPr>
    </w:p>
    <w:p w14:paraId="6EEB770D" w14:textId="77777777" w:rsidR="00020BA2" w:rsidRDefault="00020BA2" w:rsidP="00020BA2">
      <w:pPr>
        <w:pStyle w:val="ListParagraph"/>
        <w:spacing w:after="120" w:line="240" w:lineRule="auto"/>
        <w:ind w:left="0" w:right="115"/>
        <w:jc w:val="both"/>
        <w:rPr>
          <w:rFonts w:ascii="Arial" w:hAnsi="Arial" w:cs="Arial"/>
          <w:b/>
          <w:bCs/>
          <w:szCs w:val="22"/>
          <w:u w:val="single"/>
        </w:rPr>
      </w:pPr>
      <w:r>
        <w:rPr>
          <w:rFonts w:ascii="Arial" w:hAnsi="Arial" w:cs="Arial"/>
          <w:b/>
          <w:bCs/>
          <w:szCs w:val="22"/>
          <w:u w:val="single"/>
        </w:rPr>
        <w:t>Risk and Mitigation</w:t>
      </w:r>
    </w:p>
    <w:p w14:paraId="5A431BCB" w14:textId="77777777" w:rsidR="00020BA2" w:rsidRDefault="00020BA2" w:rsidP="00020BA2">
      <w:pPr>
        <w:pStyle w:val="ListParagraph"/>
        <w:numPr>
          <w:ilvl w:val="0"/>
          <w:numId w:val="3"/>
        </w:numPr>
        <w:spacing w:after="120" w:line="276" w:lineRule="auto"/>
        <w:ind w:right="115"/>
        <w:jc w:val="both"/>
        <w:rPr>
          <w:rFonts w:ascii="Arial" w:hAnsi="Arial" w:cs="Arial"/>
          <w:szCs w:val="22"/>
        </w:rPr>
      </w:pPr>
      <w:r>
        <w:rPr>
          <w:rFonts w:ascii="Arial" w:hAnsi="Arial" w:cs="Arial"/>
          <w:szCs w:val="22"/>
        </w:rPr>
        <w:t>Business Premise is Rental. In the even the lessor</w:t>
      </w:r>
      <w:r>
        <w:rPr>
          <w:rFonts w:ascii="DaunPenh" w:hAnsi="DaunPenh" w:cs="DaunPenh"/>
          <w:szCs w:val="22"/>
          <w:cs/>
        </w:rPr>
        <w:t>​</w:t>
      </w:r>
      <w:r>
        <w:rPr>
          <w:rFonts w:ascii="Arial" w:hAnsi="Arial" w:cs="DaunPenh"/>
          <w:szCs w:val="22"/>
          <w:cs/>
        </w:rPr>
        <w:t xml:space="preserve"> </w:t>
      </w:r>
      <w:r>
        <w:rPr>
          <w:rFonts w:ascii="Arial" w:hAnsi="Arial" w:cs="Arial"/>
          <w:szCs w:val="22"/>
        </w:rPr>
        <w:t>terminates the rental agreement before/after maturity date. This is, however, mitigated by our sensitized scenario where, net income drops down 30%, DRS would still acceptable at 1.69x.</w:t>
      </w:r>
    </w:p>
    <w:p w14:paraId="5B8E0E24" w14:textId="77777777" w:rsidR="00020BA2" w:rsidRDefault="00020BA2" w:rsidP="00020BA2">
      <w:pPr>
        <w:pStyle w:val="ListParagraph"/>
        <w:numPr>
          <w:ilvl w:val="0"/>
          <w:numId w:val="3"/>
        </w:numPr>
        <w:spacing w:after="120" w:line="276" w:lineRule="auto"/>
        <w:ind w:right="115"/>
        <w:jc w:val="both"/>
        <w:rPr>
          <w:rFonts w:ascii="Arial" w:hAnsi="Arial" w:cs="Arial"/>
          <w:szCs w:val="22"/>
        </w:rPr>
      </w:pPr>
      <w:r>
        <w:rPr>
          <w:rFonts w:ascii="Arial" w:hAnsi="Arial" w:cs="Arial"/>
          <w:szCs w:val="22"/>
        </w:rPr>
        <w:t>The construction approval is authorized only at Commune/Sangkat Level by the way it should approved from District/Khan. BU, however, mitigated the risk by the release of TL2 is at the KHR80M upon 100% completion of construction, when the risk of demolition by the authority is very minimal.</w:t>
      </w:r>
    </w:p>
    <w:p w14:paraId="73C15B49" w14:textId="77777777" w:rsidR="00020BA2" w:rsidRDefault="00020BA2" w:rsidP="00020BA2">
      <w:pPr>
        <w:pStyle w:val="ListParagraph"/>
        <w:spacing w:after="120" w:line="276" w:lineRule="auto"/>
        <w:ind w:right="115"/>
        <w:jc w:val="both"/>
        <w:rPr>
          <w:rFonts w:ascii="Arial" w:hAnsi="Arial" w:cs="Arial"/>
          <w:szCs w:val="22"/>
        </w:rPr>
      </w:pPr>
    </w:p>
    <w:p w14:paraId="5BD7E20D" w14:textId="77777777" w:rsidR="00020BA2" w:rsidRDefault="00020BA2" w:rsidP="00020BA2">
      <w:pPr>
        <w:spacing w:before="120" w:after="120" w:line="276" w:lineRule="auto"/>
        <w:ind w:right="115"/>
        <w:jc w:val="both"/>
        <w:rPr>
          <w:rFonts w:ascii="Arial" w:hAnsi="Arial" w:cs="Arial"/>
          <w:b/>
          <w:bCs/>
          <w:u w:val="single"/>
        </w:rPr>
      </w:pPr>
      <w:r>
        <w:rPr>
          <w:rFonts w:ascii="Arial" w:hAnsi="Arial" w:cs="Arial"/>
          <w:b/>
          <w:bCs/>
          <w:u w:val="single"/>
        </w:rPr>
        <w:t>Recommendation from CAU</w:t>
      </w:r>
    </w:p>
    <w:p w14:paraId="0407E12C" w14:textId="77777777" w:rsidR="00020BA2" w:rsidRDefault="00020BA2" w:rsidP="00020BA2">
      <w:pPr>
        <w:pStyle w:val="ListParagraph"/>
        <w:numPr>
          <w:ilvl w:val="0"/>
          <w:numId w:val="4"/>
        </w:numPr>
        <w:spacing w:before="120"/>
        <w:rPr>
          <w:rFonts w:ascii="Arial" w:hAnsi="Arial" w:cs="Arial"/>
          <w:szCs w:val="22"/>
        </w:rPr>
      </w:pPr>
      <w:r>
        <w:rPr>
          <w:rFonts w:ascii="Arial" w:hAnsi="Arial" w:cs="Arial"/>
          <w:szCs w:val="22"/>
        </w:rPr>
        <w:t>Credit Risk Assessment Unit (CAU) would like to recommend the proposed loan for management approval as per terms and conditions stated in BU’s Credit Proposal.</w:t>
      </w:r>
    </w:p>
    <w:p w14:paraId="3D55FD4C" w14:textId="77777777" w:rsidR="00020BA2" w:rsidRDefault="00020BA2" w:rsidP="00020BA2">
      <w:pPr>
        <w:pStyle w:val="ListParagraph"/>
        <w:spacing w:before="120"/>
        <w:rPr>
          <w:rFonts w:ascii="Arial" w:hAnsi="Arial" w:cs="Arial"/>
          <w:szCs w:val="22"/>
        </w:rPr>
      </w:pPr>
    </w:p>
    <w:p w14:paraId="26E31BCF" w14:textId="77777777" w:rsidR="00020BA2" w:rsidRDefault="00020BA2" w:rsidP="00020BA2">
      <w:pPr>
        <w:spacing w:before="120"/>
        <w:rPr>
          <w:rFonts w:ascii="Arial" w:hAnsi="Arial" w:cs="Arial"/>
        </w:rPr>
      </w:pPr>
      <w:bookmarkStart w:id="2" w:name="_Hlk14262521"/>
      <w:r>
        <w:rPr>
          <w:rFonts w:ascii="Arial" w:hAnsi="Arial" w:cs="Arial"/>
        </w:rPr>
        <w:t>Please find the Credit Proposal, Assessment Memo, and Security as per attachment.</w:t>
      </w:r>
      <w:bookmarkEnd w:id="0"/>
      <w:bookmarkEnd w:id="2"/>
    </w:p>
    <w:p w14:paraId="419CCB55" w14:textId="77777777" w:rsidR="00B87064" w:rsidRDefault="00B87064">
      <w:bookmarkStart w:id="3" w:name="_GoBack"/>
      <w:bookmarkEnd w:id="3"/>
    </w:p>
    <w:sectPr w:rsidR="00B87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B5774"/>
    <w:multiLevelType w:val="hybridMultilevel"/>
    <w:tmpl w:val="6C5ED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71330AE"/>
    <w:multiLevelType w:val="hybridMultilevel"/>
    <w:tmpl w:val="69EE542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0A85DD1"/>
    <w:multiLevelType w:val="hybridMultilevel"/>
    <w:tmpl w:val="76227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4301956"/>
    <w:multiLevelType w:val="hybridMultilevel"/>
    <w:tmpl w:val="BE10FFB2"/>
    <w:lvl w:ilvl="0" w:tplc="0BECB8F8">
      <w:start w:val="1"/>
      <w:numFmt w:val="lowerRoman"/>
      <w:lvlText w:val="%1."/>
      <w:lvlJc w:val="left"/>
      <w:pPr>
        <w:ind w:left="722" w:hanging="360"/>
      </w:pPr>
      <w:rPr>
        <w:rFonts w:ascii="Arial" w:eastAsia="Calibri" w:hAnsi="Arial" w:cs="Arial"/>
      </w:rPr>
    </w:lvl>
    <w:lvl w:ilvl="1" w:tplc="04090003">
      <w:start w:val="1"/>
      <w:numFmt w:val="bullet"/>
      <w:lvlText w:val="o"/>
      <w:lvlJc w:val="left"/>
      <w:pPr>
        <w:ind w:left="1442" w:hanging="360"/>
      </w:pPr>
      <w:rPr>
        <w:rFonts w:ascii="Courier New" w:hAnsi="Courier New" w:cs="Courier New" w:hint="default"/>
      </w:rPr>
    </w:lvl>
    <w:lvl w:ilvl="2" w:tplc="04090005">
      <w:start w:val="1"/>
      <w:numFmt w:val="bullet"/>
      <w:lvlText w:val=""/>
      <w:lvlJc w:val="left"/>
      <w:pPr>
        <w:ind w:left="2162" w:hanging="360"/>
      </w:pPr>
      <w:rPr>
        <w:rFonts w:ascii="Wingdings" w:hAnsi="Wingdings" w:hint="default"/>
      </w:rPr>
    </w:lvl>
    <w:lvl w:ilvl="3" w:tplc="04090001">
      <w:start w:val="1"/>
      <w:numFmt w:val="bullet"/>
      <w:lvlText w:val=""/>
      <w:lvlJc w:val="left"/>
      <w:pPr>
        <w:ind w:left="2882" w:hanging="360"/>
      </w:pPr>
      <w:rPr>
        <w:rFonts w:ascii="Symbol" w:hAnsi="Symbol" w:hint="default"/>
      </w:rPr>
    </w:lvl>
    <w:lvl w:ilvl="4" w:tplc="04090003">
      <w:start w:val="1"/>
      <w:numFmt w:val="bullet"/>
      <w:lvlText w:val="o"/>
      <w:lvlJc w:val="left"/>
      <w:pPr>
        <w:ind w:left="3602" w:hanging="360"/>
      </w:pPr>
      <w:rPr>
        <w:rFonts w:ascii="Courier New" w:hAnsi="Courier New" w:cs="Courier New" w:hint="default"/>
      </w:rPr>
    </w:lvl>
    <w:lvl w:ilvl="5" w:tplc="04090005">
      <w:start w:val="1"/>
      <w:numFmt w:val="bullet"/>
      <w:lvlText w:val=""/>
      <w:lvlJc w:val="left"/>
      <w:pPr>
        <w:ind w:left="4322" w:hanging="360"/>
      </w:pPr>
      <w:rPr>
        <w:rFonts w:ascii="Wingdings" w:hAnsi="Wingdings" w:hint="default"/>
      </w:rPr>
    </w:lvl>
    <w:lvl w:ilvl="6" w:tplc="04090001">
      <w:start w:val="1"/>
      <w:numFmt w:val="bullet"/>
      <w:lvlText w:val=""/>
      <w:lvlJc w:val="left"/>
      <w:pPr>
        <w:ind w:left="5042" w:hanging="360"/>
      </w:pPr>
      <w:rPr>
        <w:rFonts w:ascii="Symbol" w:hAnsi="Symbol" w:hint="default"/>
      </w:rPr>
    </w:lvl>
    <w:lvl w:ilvl="7" w:tplc="04090003">
      <w:start w:val="1"/>
      <w:numFmt w:val="bullet"/>
      <w:lvlText w:val="o"/>
      <w:lvlJc w:val="left"/>
      <w:pPr>
        <w:ind w:left="5762" w:hanging="360"/>
      </w:pPr>
      <w:rPr>
        <w:rFonts w:ascii="Courier New" w:hAnsi="Courier New" w:cs="Courier New" w:hint="default"/>
      </w:rPr>
    </w:lvl>
    <w:lvl w:ilvl="8" w:tplc="04090005">
      <w:start w:val="1"/>
      <w:numFmt w:val="bullet"/>
      <w:lvlText w:val=""/>
      <w:lvlJc w:val="left"/>
      <w:pPr>
        <w:ind w:left="6482" w:hanging="360"/>
      </w:pPr>
      <w:rPr>
        <w:rFonts w:ascii="Wingdings" w:hAnsi="Wingdings" w:hint="default"/>
      </w:rPr>
    </w:lvl>
  </w:abstractNum>
  <w:num w:numId="1">
    <w:abstractNumId w:val="3"/>
    <w:lvlOverride w:ilvl="0">
      <w:startOverride w:val="1"/>
    </w:lvlOverride>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BA2"/>
    <w:rsid w:val="00020BA2"/>
    <w:rsid w:val="00B8706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C3F6"/>
  <w15:chartTrackingRefBased/>
  <w15:docId w15:val="{4DE321E3-5106-4468-8E8D-B13929A80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BA2"/>
    <w:pPr>
      <w:spacing w:after="0" w:line="240" w:lineRule="auto"/>
    </w:pPr>
    <w:rPr>
      <w:rFonts w:ascii="Calibri" w:hAnsi="Calibri" w:cs="Calibr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Main numbered paragraph Char"/>
    <w:basedOn w:val="DefaultParagraphFont"/>
    <w:link w:val="ListParagraph"/>
    <w:uiPriority w:val="34"/>
    <w:locked/>
    <w:rsid w:val="00020BA2"/>
  </w:style>
  <w:style w:type="paragraph" w:styleId="ListParagraph">
    <w:name w:val="List Paragraph"/>
    <w:aliases w:val="Main numbered paragraph"/>
    <w:basedOn w:val="Normal"/>
    <w:link w:val="ListParagraphChar"/>
    <w:uiPriority w:val="34"/>
    <w:qFormat/>
    <w:rsid w:val="00020BA2"/>
    <w:pPr>
      <w:spacing w:after="160" w:line="252" w:lineRule="auto"/>
      <w:ind w:left="720"/>
      <w:contextualSpacing/>
    </w:pPr>
    <w:rPr>
      <w:rFonts w:asciiTheme="minorHAnsi" w:hAnsiTheme="minorHAnsi" w:cstheme="minorBidi"/>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74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610</Words>
  <Characters>3482</Characters>
  <Application>Microsoft Office Word</Application>
  <DocSecurity>0</DocSecurity>
  <Lines>29</Lines>
  <Paragraphs>8</Paragraphs>
  <ScaleCrop>false</ScaleCrop>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 Ratanak</dc:creator>
  <cp:keywords/>
  <dc:description/>
  <cp:lastModifiedBy>Sok Ratanak</cp:lastModifiedBy>
  <cp:revision>2</cp:revision>
  <dcterms:created xsi:type="dcterms:W3CDTF">2019-07-30T01:43:00Z</dcterms:created>
  <dcterms:modified xsi:type="dcterms:W3CDTF">2019-07-30T01:47:00Z</dcterms:modified>
</cp:coreProperties>
</file>