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b/>
          <w:bCs/>
          <w:color w:val="1a1a2e"/>
          <w:sz w:val="48"/>
          <w:szCs w:val="48"/>
        </w:rPr>
        <w:t xml:space="preserve">STRATEGIC PARTNERSHIP PROPOSAL</w:t>
      </w:r>
    </w:p>
    <w:p>
      <w:pPr>
        <w:spacing w:after="300"/>
        <w:jc w:val="center"/>
      </w:pPr>
      <w:r>
        <w:rPr>
          <w:i/>
          <w:iCs/>
          <w:color w:val="555555"/>
          <w:sz w:val="28"/>
          <w:szCs w:val="28"/>
        </w:rPr>
        <w:t xml:space="preserve">Exclusive EU Underwriting Partnership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a1a2e" w:val="clear"/>
            <w:tcMar>
              <w:top w:type="dxa" w:w="200"/>
              <w:left w:type="dxa" w:w="300"/>
              <w:bottom w:type="dxa" w:w="200"/>
              <w:right w:type="dxa" w:w="300"/>
            </w:tcMar>
          </w:tcPr>
          <w:p>
            <w:pPr>
              <w:jc w:val="center"/>
            </w:pPr>
            <w:r>
              <w:rPr>
                <w:b/>
                <w:bCs/>
                <w:color w:val="FFFFFF"/>
                <w:sz w:val="32"/>
                <w:szCs w:val="32"/>
              </w:rPr>
              <w:t xml:space="preserve">$200B+ EU-INDIA TRADE CORRIDOR</w:t>
            </w:r>
          </w:p>
          <w:p>
            <w:pPr>
              <w:spacing w:before="100"/>
              <w:jc w:val="center"/>
            </w:pPr>
            <w:r>
              <w:rPr>
                <w:i/>
                <w:iCs/>
                <w:color w:val="CCCCCC"/>
                <w:sz w:val="22"/>
                <w:szCs w:val="22"/>
              </w:rPr>
              <w:t xml:space="preserve">One exclusive underwriting partner. 50/50 fee split. Billions in opportunity.</w:t>
            </w:r>
          </w:p>
        </w:tc>
      </w:tr>
    </w:tbl>
    <w:p>
      <w:pPr>
        <w:spacing w:after="300"/>
      </w:pPr>
    </w:p>
    <w:p>
      <w:pPr>
        <w:spacing w:after="150"/>
      </w:pPr>
      <w:r>
        <w:rPr>
          <w:b/>
          <w:bCs/>
          <w:color w:val="1a1a2e"/>
          <w:sz w:val="28"/>
          <w:szCs w:val="28"/>
        </w:rPr>
        <w:t xml:space="preserve">THE ASK</w:t>
      </w:r>
    </w:p>
    <w:p>
      <w:pPr>
        <w:spacing w:after="200"/>
      </w:pPr>
      <w:r>
        <w:rPr>
          <w:sz w:val="22"/>
          <w:szCs w:val="22"/>
        </w:rPr>
        <w:t xml:space="preserve">We want LUX Bank to spin off a dedicated investment banking unit to become the exclusive arranger and underwriter for </w:t>
      </w:r>
      <w:r>
        <w:rPr>
          <w:b/>
          <w:bCs/>
          <w:sz w:val="22"/>
          <w:szCs w:val="22"/>
        </w:rPr>
        <w:t xml:space="preserve">all LUX platform transactions</w:t>
      </w:r>
      <w:r>
        <w:rPr>
          <w:sz w:val="22"/>
          <w:szCs w:val="22"/>
        </w:rPr>
        <w:t xml:space="preserve"> across the EU-India trade corridor. Full underwriting authority. Full credit governance. 50/50 on everything.</w:t>
      </w:r>
    </w:p>
    <w:p>
      <w:pPr>
        <w:spacing w:after="150"/>
      </w:pPr>
      <w:r>
        <w:rPr>
          <w:b/>
          <w:bCs/>
          <w:color w:val="1a1a2e"/>
          <w:sz w:val="28"/>
          <w:szCs w:val="28"/>
        </w:rPr>
        <w:t xml:space="preserve">WHY THIS MATTERS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none" w:color="FFFFFF" w:sz="0"/>
              <w:left w:val="none" w:color="FFFFFF" w:sz="0"/>
              <w:bottom w:val="none" w:color="FFFFFF" w:sz="0"/>
              <w:right w:val="none" w:color="FFFFFF" w:sz="0"/>
            </w:tcBorders>
            <w:shd w:fill="f5f5f5" w:val="clear"/>
            <w:tcMar>
              <w:top w:type="dxa" w:w="150"/>
              <w:left w:type="dxa" w:w="150"/>
              <w:bottom w:type="dxa" w:w="150"/>
              <w:right w:type="dxa" w:w="150"/>
            </w:tcMar>
          </w:tcPr>
          <w:p>
            <w:pPr>
              <w:jc w:val="center"/>
            </w:pPr>
            <w:r>
              <w:rPr>
                <w:b/>
                <w:bCs/>
                <w:color w:val="1a1a2e"/>
                <w:sz w:val="36"/>
                <w:szCs w:val="36"/>
              </w:rPr>
              <w:t xml:space="preserve">$200B+</w:t>
            </w:r>
          </w:p>
          <w:p>
            <w:pPr>
              <w:jc w:val="center"/>
            </w:pPr>
            <w:r>
              <w:rPr>
                <w:color w:val="666666"/>
                <w:sz w:val="18"/>
                <w:szCs w:val="18"/>
              </w:rPr>
              <w:t xml:space="preserve">EU-India bilateral trade</w:t>
            </w:r>
          </w:p>
        </w:tc>
        <w:tc>
          <w:tcPr>
            <w:tcBorders>
              <w:top w:val="none" w:color="FFFFFF" w:sz="0"/>
              <w:left w:val="none" w:color="FFFFFF" w:sz="0"/>
              <w:bottom w:val="none" w:color="FFFFFF" w:sz="0"/>
              <w:right w:val="none" w:color="FFFFFF" w:sz="0"/>
            </w:tcBorders>
            <w:shd w:fill="f5f5f5" w:val="clear"/>
            <w:tcMar>
              <w:top w:type="dxa" w:w="150"/>
              <w:left w:type="dxa" w:w="150"/>
              <w:bottom w:type="dxa" w:w="150"/>
              <w:right w:type="dxa" w:w="150"/>
            </w:tcMar>
          </w:tcPr>
          <w:p>
            <w:pPr>
              <w:jc w:val="center"/>
            </w:pPr>
            <w:r>
              <w:rPr>
                <w:b/>
                <w:bCs/>
                <w:color w:val="1a1a2e"/>
                <w:sz w:val="36"/>
                <w:szCs w:val="36"/>
              </w:rPr>
              <w:t xml:space="preserve">$400B+</w:t>
            </w:r>
          </w:p>
          <w:p>
            <w:pPr>
              <w:jc w:val="center"/>
            </w:pPr>
            <w:r>
              <w:rPr>
                <w:color w:val="666666"/>
                <w:sz w:val="18"/>
                <w:szCs w:val="18"/>
              </w:rPr>
              <w:t xml:space="preserve">Addressable finance gap</w:t>
            </w:r>
          </w:p>
        </w:tc>
        <w:tc>
          <w:tcPr>
            <w:tcBorders>
              <w:top w:val="none" w:color="FFFFFF" w:sz="0"/>
              <w:left w:val="none" w:color="FFFFFF" w:sz="0"/>
              <w:bottom w:val="none" w:color="FFFFFF" w:sz="0"/>
              <w:right w:val="none" w:color="FFFFFF" w:sz="0"/>
            </w:tcBorders>
            <w:shd w:fill="f5f5f5" w:val="clear"/>
            <w:tcMar>
              <w:top w:type="dxa" w:w="150"/>
              <w:left w:type="dxa" w:w="150"/>
              <w:bottom w:type="dxa" w:w="150"/>
              <w:right w:type="dxa" w:w="150"/>
            </w:tcMar>
          </w:tcPr>
          <w:p>
            <w:pPr>
              <w:jc w:val="center"/>
            </w:pPr>
            <w:r>
              <w:rPr>
                <w:b/>
                <w:bCs/>
                <w:color w:val="1a1a2e"/>
                <w:sz w:val="36"/>
                <w:szCs w:val="36"/>
              </w:rPr>
              <w:t xml:space="preserve">10-15%</w:t>
            </w:r>
          </w:p>
          <w:p>
            <w:pPr>
              <w:jc w:val="center"/>
            </w:pPr>
            <w:r>
              <w:rPr>
                <w:color w:val="666666"/>
                <w:sz w:val="18"/>
                <w:szCs w:val="18"/>
              </w:rPr>
              <w:t xml:space="preserve">Annual growth rate</w:t>
            </w:r>
          </w:p>
        </w:tc>
        <w:tc>
          <w:tcPr>
            <w:tcBorders>
              <w:top w:val="none" w:color="FFFFFF" w:sz="0"/>
              <w:left w:val="none" w:color="FFFFFF" w:sz="0"/>
              <w:bottom w:val="none" w:color="FFFFFF" w:sz="0"/>
              <w:right w:val="none" w:color="FFFFFF" w:sz="0"/>
            </w:tcBorders>
            <w:shd w:fill="6b5b95" w:val="clear"/>
            <w:tcMar>
              <w:top w:type="dxa" w:w="150"/>
              <w:left w:type="dxa" w:w="150"/>
              <w:bottom w:type="dxa" w:w="150"/>
              <w:right w:type="dxa" w:w="150"/>
            </w:tcMar>
          </w:tcPr>
          <w:p>
            <w:pPr>
              <w:jc w:val="center"/>
            </w:pPr>
            <w:r>
              <w:rPr>
                <w:b/>
                <w:bCs/>
                <w:color w:val="FFFFFF"/>
                <w:sz w:val="36"/>
                <w:szCs w:val="36"/>
              </w:rPr>
              <w:t xml:space="preserve">$1.85B</w:t>
            </w:r>
          </w:p>
          <w:p>
            <w:pPr>
              <w:jc w:val="center"/>
            </w:pPr>
            <w:r>
              <w:rPr>
                <w:color w:val="FFFFFF"/>
                <w:sz w:val="18"/>
                <w:szCs w:val="18"/>
              </w:rPr>
              <w:t xml:space="preserve">Your 3-year take</w:t>
            </w:r>
          </w:p>
        </w:tc>
      </w:tr>
    </w:tbl>
    <w:p>
      <w:pPr>
        <w:spacing w:after="300"/>
      </w:pPr>
    </w:p>
    <w:p>
      <w:pPr>
        <w:spacing w:after="150"/>
      </w:pPr>
      <w:r>
        <w:rPr>
          <w:b/>
          <w:bCs/>
          <w:color w:val="1a1a2e"/>
          <w:sz w:val="28"/>
          <w:szCs w:val="28"/>
        </w:rPr>
        <w:t xml:space="preserve">THE DEAL: 50/50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jc w:val="center"/>
            </w:pPr>
            <w:r>
              <w:rPr>
                <w:b/>
                <w:bCs/>
                <w:color w:val="FFFFFF"/>
                <w:sz w:val="24"/>
                <w:szCs w:val="24"/>
              </w:rPr>
              <w:t xml:space="preserve">LUX BANK GETS</w:t>
            </w:r>
          </w:p>
        </w:tc>
        <w:tc>
          <w:tcPr>
            <w:tcBorders>
              <w:top w:val="none" w:color="FFFFFF" w:sz="0"/>
              <w:left w:val="none" w:color="FFFFFF" w:sz="0"/>
              <w:bottom w:val="none" w:color="FFFFFF" w:sz="0"/>
              <w:right w:val="none" w:color="FFFFFF" w:sz="0"/>
            </w:tcBorders>
            <w:shd w:fill="6b5b95" w:val="clear"/>
            <w:tcMar>
              <w:top w:type="dxa" w:w="120"/>
              <w:left w:type="dxa" w:w="200"/>
              <w:bottom w:type="dxa" w:w="120"/>
              <w:right w:type="dxa" w:w="200"/>
            </w:tcMar>
          </w:tcPr>
          <w:p>
            <w:pPr>
              <w:jc w:val="center"/>
            </w:pPr>
            <w:r>
              <w:rPr>
                <w:b/>
                <w:bCs/>
                <w:color w:val="FFFFFF"/>
                <w:sz w:val="24"/>
                <w:szCs w:val="24"/>
              </w:rPr>
              <w:t xml:space="preserve">LUX INDUSTRIES DELIVERS</w:t>
            </w:r>
          </w:p>
        </w:tc>
      </w:tr>
      <w:tr>
        <w:tc>
          <w:tcPr>
            <w:tcBorders>
              <w:top w:val="none" w:color="FFFFFF" w:sz="0"/>
              <w:left w:val="none" w:color="FFFFFF" w:sz="0"/>
              <w:bottom w:val="none" w:color="FFFFFF" w:sz="0"/>
              <w:right w:val="none" w:color="FFFFFF" w:sz="0"/>
            </w:tcBorders>
            <w:shd w:fill="f0f4f8" w:val="clear"/>
            <w:tcMar>
              <w:top w:type="dxa" w:w="150"/>
              <w:left w:type="dxa" w:w="200"/>
              <w:bottom w:type="dxa" w:w="150"/>
              <w:right w:type="dxa" w:w="200"/>
            </w:tcMar>
          </w:tcPr>
          <w:p>
            <w:r>
              <w:rPr>
                <w:color w:val="1a1a2e"/>
              </w:rPr>
              <w:t xml:space="preserve">✓ </w:t>
            </w:r>
            <w:r>
              <w:rPr>
                <w:sz w:val="22"/>
                <w:szCs w:val="22"/>
              </w:rPr>
              <w:t xml:space="preserve">50% of all platform fees</w:t>
            </w:r>
          </w:p>
          <w:p>
            <w:r>
              <w:rPr>
                <w:color w:val="1a1a2e"/>
              </w:rPr>
              <w:t xml:space="preserve">✓ </w:t>
            </w:r>
            <w:r>
              <w:rPr>
                <w:sz w:val="22"/>
                <w:szCs w:val="22"/>
              </w:rPr>
              <w:t xml:space="preserve">Exclusive underwriting rights</w:t>
            </w:r>
          </w:p>
          <w:p>
            <w:r>
              <w:rPr>
                <w:color w:val="1a1a2e"/>
              </w:rPr>
              <w:t xml:space="preserve">✓ </w:t>
            </w:r>
            <w:r>
              <w:rPr>
                <w:sz w:val="22"/>
                <w:szCs w:val="22"/>
              </w:rPr>
              <w:t xml:space="preserve">Credit governance leadership</w:t>
            </w:r>
          </w:p>
          <w:p>
            <w:r>
              <w:rPr>
                <w:color w:val="1a1a2e"/>
              </w:rPr>
              <w:t xml:space="preserve">✓ </w:t>
            </w:r>
            <w:r>
              <w:rPr>
                <w:sz w:val="22"/>
                <w:szCs w:val="22"/>
              </w:rPr>
              <w:t xml:space="preserve">Distribution authority</w:t>
            </w:r>
          </w:p>
          <w:p>
            <w:pPr>
              <w:spacing w:before="150"/>
            </w:pPr>
            <w:r>
              <w:rPr>
                <w:color w:val="666666"/>
                <w:sz w:val="20"/>
                <w:szCs w:val="20"/>
              </w:rPr>
              <w:t xml:space="preserve">Year 1: $150-200M</w:t>
            </w:r>
          </w:p>
          <w:p>
            <w:r>
              <w:rPr>
                <w:color w:val="666666"/>
                <w:sz w:val="20"/>
                <w:szCs w:val="20"/>
              </w:rPr>
              <w:t xml:space="preserve">Year 2: $400-550M</w:t>
            </w:r>
          </w:p>
          <w:p>
            <w:r>
              <w:rPr>
                <w:color w:val="666666"/>
                <w:sz w:val="20"/>
                <w:szCs w:val="20"/>
              </w:rPr>
              <w:t xml:space="preserve">Year 3: $600M-1.1B</w:t>
            </w:r>
          </w:p>
          <w:p>
            <w:pPr>
              <w:spacing w:before="100"/>
            </w:pPr>
            <w:r>
              <w:rPr>
                <w:b/>
                <w:bCs/>
                <w:sz w:val="24"/>
                <w:szCs w:val="24"/>
              </w:rPr>
              <w:t xml:space="preserve">3-Year Total: $1.15-1.85B</w:t>
            </w:r>
          </w:p>
        </w:tc>
        <w:tc>
          <w:tcPr>
            <w:tcBorders>
              <w:top w:val="none" w:color="FFFFFF" w:sz="0"/>
              <w:left w:val="none" w:color="FFFFFF" w:sz="0"/>
              <w:bottom w:val="none" w:color="FFFFFF" w:sz="0"/>
              <w:right w:val="none" w:color="FFFFFF" w:sz="0"/>
            </w:tcBorders>
            <w:shd w:fill="f0f4f8" w:val="clear"/>
            <w:tcMar>
              <w:top w:type="dxa" w:w="150"/>
              <w:left w:type="dxa" w:w="200"/>
              <w:bottom w:type="dxa" w:w="150"/>
              <w:right w:type="dxa" w:w="200"/>
            </w:tcMar>
          </w:tcPr>
          <w:p>
            <w:r>
              <w:rPr>
                <w:color w:val="6b5b95"/>
              </w:rPr>
              <w:t xml:space="preserve">✓ </w:t>
            </w:r>
            <w:r>
              <w:rPr>
                <w:sz w:val="22"/>
                <w:szCs w:val="22"/>
              </w:rPr>
              <w:t xml:space="preserve">Luxembourg-domiciled platform</w:t>
            </w:r>
          </w:p>
          <w:p>
            <w:r>
              <w:rPr>
                <w:color w:val="6b5b95"/>
              </w:rPr>
              <w:t xml:space="preserve">✓ </w:t>
            </w:r>
            <w:r>
              <w:rPr>
                <w:sz w:val="22"/>
                <w:szCs w:val="22"/>
              </w:rPr>
              <w:t xml:space="preserve">Exclusive deal pipeline (under NDA)</w:t>
            </w:r>
          </w:p>
          <w:p>
            <w:r>
              <w:rPr>
                <w:color w:val="6b5b95"/>
              </w:rPr>
              <w:t xml:space="preserve">✓ </w:t>
            </w:r>
            <w:r>
              <w:rPr>
                <w:sz w:val="22"/>
                <w:szCs w:val="22"/>
              </w:rPr>
              <w:t xml:space="preserve">Full KYC/AML/CTF infrastructure</w:t>
            </w:r>
          </w:p>
          <w:p>
            <w:r>
              <w:rPr>
                <w:color w:val="6b5b95"/>
              </w:rPr>
              <w:t xml:space="preserve">✓ </w:t>
            </w:r>
            <w:r>
              <w:rPr>
                <w:sz w:val="22"/>
                <w:szCs w:val="22"/>
              </w:rPr>
              <w:t xml:space="preserve">Origination &amp; structuring</w:t>
            </w:r>
          </w:p>
          <w:p>
            <w:r>
              <w:rPr>
                <w:color w:val="6b5b95"/>
              </w:rPr>
              <w:t xml:space="preserve">✓ </w:t>
            </w:r>
            <w:r>
              <w:rPr>
                <w:sz w:val="22"/>
                <w:szCs w:val="22"/>
              </w:rPr>
              <w:t xml:space="preserve">Program administration</w:t>
            </w:r>
          </w:p>
          <w:p>
            <w:r>
              <w:rPr>
                <w:color w:val="6b5b95"/>
              </w:rPr>
              <w:t xml:space="preserve">✓ </w:t>
            </w:r>
            <w:r>
              <w:rPr>
                <w:sz w:val="22"/>
                <w:szCs w:val="22"/>
              </w:rPr>
              <w:t xml:space="preserve">Comprehensive reporting</w:t>
            </w:r>
          </w:p>
        </w:tc>
      </w:tr>
    </w:tbl>
    <w:p>
      <w:r>
        <w:br w:type="page"/>
      </w:r>
    </w:p>
    <w:p>
      <w:pPr>
        <w:spacing w:after="150"/>
      </w:pPr>
      <w:r>
        <w:rPr>
          <w:b/>
          <w:bCs/>
          <w:color w:val="1a1a2e"/>
          <w:sz w:val="28"/>
          <w:szCs w:val="28"/>
        </w:rPr>
        <w:t xml:space="preserve">WHAT YOU'LL UNDERWRITE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r>
              <w:rPr>
                <w:b/>
                <w:bCs/>
                <w:color w:val="1a1a2e"/>
                <w:sz w:val="24"/>
                <w:szCs w:val="24"/>
              </w:rPr>
              <w:t xml:space="preserve">Trade Finance</w:t>
            </w:r>
          </w:p>
          <w:p>
            <w:pPr>
              <w:spacing w:before="80"/>
            </w:pPr>
            <w:r>
              <w:rPr>
                <w:color w:val="555555"/>
                <w:sz w:val="20"/>
                <w:szCs w:val="20"/>
              </w:rPr>
              <w:t xml:space="preserve">Letters of Credit, Standby LCs, guarantees, confirming &amp; discounting services</w:t>
            </w:r>
          </w:p>
        </w:tc>
        <w:tc>
          <w:tcPr>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r>
              <w:rPr>
                <w:b/>
                <w:bCs/>
                <w:color w:val="1a1a2e"/>
                <w:sz w:val="24"/>
                <w:szCs w:val="24"/>
              </w:rPr>
              <w:t xml:space="preserve">Supply Chain Finance</w:t>
            </w:r>
          </w:p>
          <w:p>
            <w:pPr>
              <w:spacing w:before="80"/>
            </w:pPr>
            <w:r>
              <w:rPr>
                <w:color w:val="555555"/>
                <w:sz w:val="20"/>
                <w:szCs w:val="20"/>
              </w:rPr>
              <w:t xml:space="preserve">Supplier finance, reverse factoring, working capital solutions</w:t>
            </w:r>
          </w:p>
        </w:tc>
      </w:tr>
      <w:tr>
        <w:tc>
          <w:tcPr>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r>
              <w:rPr>
                <w:b/>
                <w:bCs/>
                <w:color w:val="1a1a2e"/>
                <w:sz w:val="24"/>
                <w:szCs w:val="24"/>
              </w:rPr>
              <w:t xml:space="preserve">Receivables Finance</w:t>
            </w:r>
          </w:p>
          <w:p>
            <w:pPr>
              <w:spacing w:before="80"/>
            </w:pPr>
            <w:r>
              <w:rPr>
                <w:color w:val="555555"/>
                <w:sz w:val="20"/>
                <w:szCs w:val="20"/>
              </w:rPr>
              <w:t xml:space="preserve">Factoring and receivables purchase with defined obligors and payment rails</w:t>
            </w:r>
          </w:p>
        </w:tc>
        <w:tc>
          <w:tcPr>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r>
              <w:rPr>
                <w:b/>
                <w:bCs/>
                <w:color w:val="1a1a2e"/>
                <w:sz w:val="24"/>
                <w:szCs w:val="24"/>
              </w:rPr>
              <w:t xml:space="preserve">Investment SPVs</w:t>
            </w:r>
          </w:p>
          <w:p>
            <w:pPr>
              <w:spacing w:before="80"/>
            </w:pPr>
            <w:r>
              <w:rPr>
                <w:color w:val="555555"/>
                <w:sz w:val="20"/>
                <w:szCs w:val="20"/>
              </w:rPr>
              <w:t xml:space="preserve">Logistics, industrial corridors, energy transition, manufacturing supply chains</w:t>
            </w:r>
          </w:p>
        </w:tc>
      </w:tr>
    </w:tbl>
    <w:p>
      <w:pPr>
        <w:spacing w:after="250"/>
      </w:pPr>
    </w:p>
    <w:p>
      <w:pPr>
        <w:spacing w:after="150"/>
      </w:pPr>
      <w:r>
        <w:rPr>
          <w:b/>
          <w:bCs/>
          <w:color w:val="1a1a2e"/>
          <w:sz w:val="28"/>
          <w:szCs w:val="28"/>
        </w:rPr>
        <w:t xml:space="preserve">WHY WE WANT YOU</w:t>
      </w:r>
    </w:p>
    <w:p>
      <w:pPr>
        <w:spacing w:after="200"/>
      </w:pPr>
      <w:r>
        <w:rPr>
          <w:sz w:val="22"/>
          <w:szCs w:val="22"/>
        </w:rPr>
        <w:t xml:space="preserve">As the 3rd largest investment bank in the EU, you have exactly what we need: institutional credibility that opens doors, regulatory standing that gives counterparties confidence, and distribution muscle that moves product. We've built the origination engine. You bring the underwriting firepower. Together we own this corridor.</w:t>
      </w:r>
    </w:p>
    <w:p>
      <w:pPr>
        <w:spacing w:after="150"/>
      </w:pPr>
      <w:r>
        <w:rPr>
          <w:b/>
          <w:bCs/>
          <w:color w:val="1a1a2e"/>
          <w:sz w:val="28"/>
          <w:szCs w:val="28"/>
        </w:rPr>
        <w:t xml:space="preserve">NEXT 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Borders>
              <w:top w:val="none" w:color="FFFFFF" w:sz="0"/>
              <w:left w:val="none" w:color="FFFFFF" w:sz="0"/>
              <w:bottom w:val="none" w:color="FFFFFF" w:sz="0"/>
              <w:right w:val="none" w:color="FFFFFF" w:sz="0"/>
            </w:tcBorders>
            <w:shd w:fill="1a1a2e" w:val="clear"/>
            <w:tcMar>
              <w:top w:type="dxa" w:w="100"/>
              <w:left w:type="dxa" w:w="100"/>
              <w:bottom w:type="dxa" w:w="100"/>
              <w:right w:type="dxa" w:w="100"/>
            </w:tcMar>
          </w:tcPr>
          <w:p>
            <w:pPr>
              <w:jc w:val="center"/>
            </w:pPr>
            <w:r>
              <w:rPr>
                <w:b/>
                <w:bCs/>
                <w:color w:val="FFFFFF"/>
                <w:sz w:val="28"/>
                <w:szCs w:val="28"/>
              </w:rPr>
              <w:t xml:space="preserve">1</w:t>
            </w:r>
          </w:p>
        </w:tc>
        <w:tc>
          <w:tcPr>
            <w:tcBorders>
              <w:top w:val="none" w:color="FFFFFF" w:sz="0"/>
              <w:left w:val="none" w:color="FFFFFF" w:sz="0"/>
              <w:bottom w:val="none" w:color="FFFFFF" w:sz="0"/>
              <w:right w:val="none" w:color="FFFFFF" w:sz="0"/>
            </w:tcBorders>
            <w:shd w:fill="f0f4f8" w:val="clear"/>
            <w:tcMar>
              <w:top w:type="dxa" w:w="100"/>
              <w:left w:type="dxa" w:w="200"/>
              <w:bottom w:type="dxa" w:w="100"/>
              <w:right w:type="dxa" w:w="200"/>
            </w:tcMar>
          </w:tcPr>
          <w:p>
            <w:r>
              <w:rPr>
                <w:b/>
                <w:bCs/>
                <w:sz w:val="22"/>
                <w:szCs w:val="22"/>
              </w:rPr>
              <w:t xml:space="preserve">NDA &amp; LOI </w:t>
            </w:r>
            <w:r>
              <w:rPr>
                <w:sz w:val="22"/>
                <w:szCs w:val="22"/>
              </w:rPr>
              <w:t xml:space="preserve">— Lock in the partnership framework</w:t>
            </w:r>
          </w:p>
        </w:tc>
      </w:tr>
      <w:tr>
        <w:tc>
          <w:tcPr>
            <w:tcBorders>
              <w:top w:val="none" w:color="FFFFFF" w:sz="0"/>
              <w:left w:val="none" w:color="FFFFFF" w:sz="0"/>
              <w:bottom w:val="none" w:color="FFFFFF" w:sz="0"/>
              <w:right w:val="none" w:color="FFFFFF" w:sz="0"/>
            </w:tcBorders>
            <w:shd w:fill="6b5b95" w:val="clear"/>
            <w:tcMar>
              <w:top w:type="dxa" w:w="100"/>
              <w:left w:type="dxa" w:w="100"/>
              <w:bottom w:type="dxa" w:w="100"/>
              <w:right w:type="dxa" w:w="100"/>
            </w:tcMar>
          </w:tcPr>
          <w:p>
            <w:pPr>
              <w:jc w:val="center"/>
            </w:pPr>
            <w:r>
              <w:rPr>
                <w:b/>
                <w:bCs/>
                <w:color w:val="FFFFFF"/>
                <w:sz w:val="28"/>
                <w:szCs w:val="28"/>
              </w:rPr>
              <w:t xml:space="preserve">2</w:t>
            </w:r>
          </w:p>
        </w:tc>
        <w:tc>
          <w:tcPr>
            <w:tcBorders>
              <w:top w:val="none" w:color="FFFFFF" w:sz="0"/>
              <w:left w:val="none" w:color="FFFFFF" w:sz="0"/>
              <w:bottom w:val="none" w:color="FFFFFF" w:sz="0"/>
              <w:right w:val="none" w:color="FFFFFF" w:sz="0"/>
            </w:tcBorders>
            <w:shd w:fill="f0f4f8" w:val="clear"/>
            <w:tcMar>
              <w:top w:type="dxa" w:w="100"/>
              <w:left w:type="dxa" w:w="200"/>
              <w:bottom w:type="dxa" w:w="100"/>
              <w:right w:type="dxa" w:w="200"/>
            </w:tcMar>
          </w:tcPr>
          <w:p>
            <w:r>
              <w:rPr>
                <w:b/>
                <w:bCs/>
                <w:sz w:val="22"/>
                <w:szCs w:val="22"/>
              </w:rPr>
              <w:t xml:space="preserve">Spin Off Unit </w:t>
            </w:r>
            <w:r>
              <w:rPr>
                <w:sz w:val="22"/>
                <w:szCs w:val="22"/>
              </w:rPr>
              <w:t xml:space="preserve">— Establish dedicated JV for underwriting</w:t>
            </w:r>
          </w:p>
        </w:tc>
      </w:tr>
      <w:tr>
        <w:tc>
          <w:tcPr>
            <w:tcBorders>
              <w:top w:val="none" w:color="FFFFFF" w:sz="0"/>
              <w:left w:val="none" w:color="FFFFFF" w:sz="0"/>
              <w:bottom w:val="none" w:color="FFFFFF" w:sz="0"/>
              <w:right w:val="none" w:color="FFFFFF" w:sz="0"/>
            </w:tcBorders>
            <w:shd w:fill="1a1a2e" w:val="clear"/>
            <w:tcMar>
              <w:top w:type="dxa" w:w="100"/>
              <w:left w:type="dxa" w:w="100"/>
              <w:bottom w:type="dxa" w:w="100"/>
              <w:right w:type="dxa" w:w="100"/>
            </w:tcMar>
          </w:tcPr>
          <w:p>
            <w:pPr>
              <w:jc w:val="center"/>
            </w:pPr>
            <w:r>
              <w:rPr>
                <w:b/>
                <w:bCs/>
                <w:color w:val="FFFFFF"/>
                <w:sz w:val="28"/>
                <w:szCs w:val="28"/>
              </w:rPr>
              <w:t xml:space="preserve">3</w:t>
            </w:r>
          </w:p>
        </w:tc>
        <w:tc>
          <w:tcPr>
            <w:tcBorders>
              <w:top w:val="none" w:color="FFFFFF" w:sz="0"/>
              <w:left w:val="none" w:color="FFFFFF" w:sz="0"/>
              <w:bottom w:val="none" w:color="FFFFFF" w:sz="0"/>
              <w:right w:val="none" w:color="FFFFFF" w:sz="0"/>
            </w:tcBorders>
            <w:shd w:fill="f0f4f8" w:val="clear"/>
            <w:tcMar>
              <w:top w:type="dxa" w:w="100"/>
              <w:left w:type="dxa" w:w="200"/>
              <w:bottom w:type="dxa" w:w="100"/>
              <w:right w:type="dxa" w:w="200"/>
            </w:tcMar>
          </w:tcPr>
          <w:p>
            <w:r>
              <w:rPr>
                <w:b/>
                <w:bCs/>
                <w:sz w:val="22"/>
                <w:szCs w:val="22"/>
              </w:rPr>
              <w:t xml:space="preserve">Go Live </w:t>
            </w:r>
            <w:r>
              <w:rPr>
                <w:sz w:val="22"/>
                <w:szCs w:val="22"/>
              </w:rPr>
              <w:t xml:space="preserve">— Deploy capital and start earning</w:t>
            </w:r>
          </w:p>
        </w:tc>
      </w:tr>
    </w:tbl>
    <w:p>
      <w:pPr>
        <w:spacing w:after="25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a1a2e" w:val="clear"/>
            <w:tcMar>
              <w:top w:type="dxa" w:w="200"/>
              <w:left w:type="dxa" w:w="300"/>
              <w:bottom w:type="dxa" w:w="200"/>
              <w:right w:type="dxa" w:w="300"/>
            </w:tcMar>
          </w:tcPr>
          <w:p>
            <w:pPr>
              <w:jc w:val="center"/>
            </w:pPr>
            <w:r>
              <w:rPr>
                <w:b/>
                <w:bCs/>
                <w:color w:val="FFFFFF"/>
                <w:sz w:val="26"/>
                <w:szCs w:val="26"/>
              </w:rPr>
              <w:t xml:space="preserve">Let's build the EU's dominant trade finance platform.</w:t>
            </w:r>
          </w:p>
          <w:p>
            <w:pPr>
              <w:spacing w:before="80"/>
              <w:jc w:val="center"/>
            </w:pPr>
            <w:r>
              <w:rPr>
                <w:b/>
                <w:bCs/>
                <w:i/>
                <w:iCs/>
                <w:color w:val="6b5b95"/>
                <w:sz w:val="26"/>
                <w:szCs w:val="26"/>
              </w:rPr>
              <w:t xml:space="preserve">Together.</w:t>
            </w:r>
          </w:p>
        </w:tc>
      </w:tr>
    </w:tbl>
    <w:p>
      <w:pPr>
        <w:spacing w:after="300"/>
      </w:pPr>
    </w:p>
    <w:p>
      <w:pPr>
        <w:jc w:val="center"/>
      </w:pPr>
      <w:r>
        <w:rPr>
          <w:b/>
          <w:bCs/>
          <w:sz w:val="24"/>
          <w:szCs w:val="24"/>
        </w:rPr>
        <w:t xml:space="preserve">Zach Kelling</w:t>
      </w:r>
    </w:p>
    <w:p>
      <w:pPr>
        <w:jc w:val="center"/>
      </w:pPr>
      <w:r>
        <w:rPr>
          <w:color w:val="666666"/>
          <w:sz w:val="20"/>
          <w:szCs w:val="20"/>
        </w:rPr>
        <w:t xml:space="preserve">Co-Founder &amp; CEO, LUX Industries Inc.</w:t>
      </w:r>
    </w:p>
    <w:p>
      <w:pPr>
        <w:spacing w:after="50"/>
        <w:jc w:val="center"/>
      </w:pPr>
      <w:r>
        <w:rPr>
          <w:color w:val="6b5b95"/>
          <w:sz w:val="22"/>
          <w:szCs w:val="22"/>
        </w:rPr>
        <w:t xml:space="preserve">z@lux.fund</w:t>
      </w:r>
    </w:p>
    <w:p>
      <w:pPr>
        <w:spacing w:before="300"/>
      </w:pPr>
    </w:p>
    <w:p>
      <w:pPr>
        <w:jc w:val="center"/>
      </w:pPr>
      <w:r>
        <w:rPr>
          <w:i/>
          <w:iCs/>
          <w:color w:val="999999"/>
          <w:sz w:val="16"/>
          <w:szCs w:val="16"/>
        </w:rPr>
        <w:t xml:space="preserve">CONFIDENTIAL</w:t>
      </w:r>
    </w:p>
    <w:sectPr>
      <w:headerReference w:type="default" r:id="rId6"/>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1143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048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42d80e25c2d8e98019fc1ceb6ecd28b768c1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2026-02-04T06:51:34.307Z</dcterms:created>
  <dcterms:modified xsi:type="dcterms:W3CDTF">2026-02-04T06:51:34.311Z</dcterms:modified>
</cp:coreProperties>
</file>

<file path=docProps/custom.xml><?xml version="1.0" encoding="utf-8"?>
<Properties xmlns="http://schemas.openxmlformats.org/officeDocument/2006/custom-properties" xmlns:vt="http://schemas.openxmlformats.org/officeDocument/2006/docPropsVTypes"/>
</file>