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AvaTrade Ltd.)</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AvaTrade Ltd., a private limited company organized under the laws of Ireland, with registered office at Five Lamps Place, 77 Amiens Street, Dublin 1, D01 K640, Ireland (Companies Registration Office No. 469951) (“AvaTrade” or the “Local Partner”).  Lux Industries and AvaTrade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AvaTrade is a multi-jurisdiction regulated retail brokerage group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AvaTrade,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AvaTrade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AvaTrade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AvaTrade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AvaTrade’s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AvaTrade customer experience;</w:t>
      </w:r>
    </w:p>
    <w:p>
      <w:pPr>
        <w:pStyle w:val="ListBullet"/>
        <w:spacing w:after="40"/>
      </w:pPr>
      <w:r>
        <w:t>(b) Lux Network integration, including identity, content-addressed audit, and (where applicable) settlement primitives used to record and reconcile activity arising from the AvaTrade customer base under the Local Partner Licensed Activity; and</w:t>
      </w:r>
    </w:p>
    <w:p>
      <w:pPr>
        <w:pStyle w:val="ListBullet"/>
        <w:spacing w:after="40"/>
      </w:pPr>
      <w:r>
        <w:t>(c) SF Private Pay PSP enablement as set forth in Schedule 2, pursuant to which AvaTrade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AvaTrade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AvaTrade’s customers the combined capabilities of AvaTrade’s licensed regulated stack and the Lux Network technology and coordination stack; (b) reduce onboarding friction, cost, and fraud risk through Simplici.io; (c) where in scope, enable AvaTrade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AvaTrade’s flow on the Lux Network or associated services and (b) revenue earned by AvaTrade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AvaTrade.</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AvaTrade within fifteen (15) business days of each calendar month-end showing, for the prior month, Gross Partnership Revenue, Documented Costs by category, Net Partnership Revenue, and the resulting 50/50 split.  AvaTrade shall reciprocally report any Gross Partnership Revenue earned directly by AvaTrade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AvaTrade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AvaTrade may charge additional spread, commission, or other pricing to its customers in respect of products produced through the Local Partner Licensed Activity, and AvaTrade shall retain one hundred percent (100%) of such customer-facing markups, subject to applicable law and AvaTrade’s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AvaTrade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AvaTrade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AvaTrade shall have direct, independent access to all onboarding records, verification outputs, and CIP artifacts in respect of its customers through Simplici.io.  AvaTrade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AvaTrade to perform technology-platform functions on behalf of Lux Industries, or to require Lux Industries to perform Local Partner Licensed Activity on behalf of AvaTrade.</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AvaTrade owns or controls its customer data.  Lux Industries and the applicable platform providers shall act as service providers / data processors, processing such data solely to provide the services and as documented by AvaTrade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AvaTrade within seventy-two (72) hours after becoming aware of any confirmed or reasonably suspected cybersecurity incident, data breach, or unauthorized access involving AvaTrade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AvaTrade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AvaTrade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AvaTrade.</w:t>
      </w:r>
    </w:p>
    <w:p>
      <w:pPr>
        <w:spacing w:after="120"/>
        <w:jc w:val="both"/>
      </w:pPr>
      <w:r>
        <w:rPr>
          <w:b w:val="0"/>
          <w:i w:val="0"/>
        </w:rPr>
        <w:t>AvaTrade shall indemnify, defend, and hold harmless Lux Industries and its affiliates and their respective officers, directors, employees, and agents from and against any third-party claims, damages, liabilities, penalties, fines, and reasonable attorneys’ fees arising out of or relating to (a) AvaTrade’s material breach of this Agreement; (b) AvaTrade’s gross negligence or willful misconduct; (c) AvaTrade’s conduct of the Local Partner Licensed Activity; or (d) AvaTrade’s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AvaTrade’s systems, with a white-labeled user experience within AvaTrade’s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AvaTrade: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AVATRADE LICENSE STACK</w:t>
      </w:r>
    </w:p>
    <w:p>
      <w:pPr>
        <w:spacing w:after="120"/>
        <w:jc w:val="both"/>
      </w:pPr>
      <w:r>
        <w:rPr>
          <w:b w:val="0"/>
          <w:i w:val="0"/>
        </w:rPr>
        <w:t>The following licenses and registrations held by AvaTrade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Ireland</w:t>
            </w:r>
          </w:p>
        </w:tc>
        <w:tc>
          <w:tcPr>
            <w:tcW w:type="dxa" w:w="2340"/>
          </w:tcPr>
          <w:p>
            <w:r>
              <w:t>Central Bank of Ireland</w:t>
            </w:r>
          </w:p>
        </w:tc>
        <w:tc>
          <w:tcPr>
            <w:tcW w:type="dxa" w:w="2340"/>
          </w:tcPr>
          <w:p>
            <w:r>
              <w:t>Investment Firm (MiFID II authorisation)</w:t>
            </w:r>
          </w:p>
        </w:tc>
        <w:tc>
          <w:tcPr>
            <w:tcW w:type="dxa" w:w="2340"/>
          </w:tcPr>
          <w:p>
            <w:r>
              <w:t>EEA-passported investment services and ancillary services</w:t>
            </w:r>
          </w:p>
        </w:tc>
      </w:tr>
      <w:tr>
        <w:tc>
          <w:tcPr>
            <w:tcW w:type="dxa" w:w="2340"/>
          </w:tcPr>
          <w:p>
            <w:r>
              <w:t>European Union</w:t>
            </w:r>
          </w:p>
        </w:tc>
        <w:tc>
          <w:tcPr>
            <w:tcW w:type="dxa" w:w="2340"/>
          </w:tcPr>
          <w:p>
            <w:r>
              <w:t>ESMA / NCAs</w:t>
            </w:r>
          </w:p>
        </w:tc>
        <w:tc>
          <w:tcPr>
            <w:tcW w:type="dxa" w:w="2340"/>
          </w:tcPr>
          <w:p>
            <w:r>
              <w:t>MiFID II passport</w:t>
            </w:r>
          </w:p>
        </w:tc>
        <w:tc>
          <w:tcPr>
            <w:tcW w:type="dxa" w:w="2340"/>
          </w:tcPr>
          <w:p>
            <w:r>
              <w:t>Cross-border investment services in EU member states</w:t>
            </w:r>
          </w:p>
        </w:tc>
      </w:tr>
      <w:tr>
        <w:tc>
          <w:tcPr>
            <w:tcW w:type="dxa" w:w="2340"/>
          </w:tcPr>
          <w:p>
            <w:r>
              <w:t>South Africa</w:t>
            </w:r>
          </w:p>
        </w:tc>
        <w:tc>
          <w:tcPr>
            <w:tcW w:type="dxa" w:w="2340"/>
          </w:tcPr>
          <w:p>
            <w:r>
              <w:t>FSCA</w:t>
            </w:r>
          </w:p>
        </w:tc>
        <w:tc>
          <w:tcPr>
            <w:tcW w:type="dxa" w:w="2340"/>
          </w:tcPr>
          <w:p>
            <w:r>
              <w:t>Authorised Financial Services Provider (FSP)</w:t>
            </w:r>
          </w:p>
        </w:tc>
        <w:tc>
          <w:tcPr>
            <w:tcW w:type="dxa" w:w="2340"/>
          </w:tcPr>
          <w:p>
            <w:r>
              <w:t>Retail and institutional financial services in ZA</w:t>
            </w:r>
          </w:p>
        </w:tc>
      </w:tr>
      <w:tr>
        <w:tc>
          <w:tcPr>
            <w:tcW w:type="dxa" w:w="2340"/>
          </w:tcPr>
          <w:p>
            <w:r>
              <w:t>Australia</w:t>
            </w:r>
          </w:p>
        </w:tc>
        <w:tc>
          <w:tcPr>
            <w:tcW w:type="dxa" w:w="2340"/>
          </w:tcPr>
          <w:p>
            <w:r>
              <w:t>ASIC</w:t>
            </w:r>
          </w:p>
        </w:tc>
        <w:tc>
          <w:tcPr>
            <w:tcW w:type="dxa" w:w="2340"/>
          </w:tcPr>
          <w:p>
            <w:r>
              <w:t>Australian Financial Services Licence (AFSL)</w:t>
            </w:r>
          </w:p>
        </w:tc>
        <w:tc>
          <w:tcPr>
            <w:tcW w:type="dxa" w:w="2340"/>
          </w:tcPr>
          <w:p>
            <w:r>
              <w:t>Retail and wholesale financial services in AU</w:t>
            </w:r>
          </w:p>
        </w:tc>
      </w:tr>
      <w:tr>
        <w:tc>
          <w:tcPr>
            <w:tcW w:type="dxa" w:w="2340"/>
          </w:tcPr>
          <w:p>
            <w:r>
              <w:t>United Kingdom</w:t>
            </w:r>
          </w:p>
        </w:tc>
        <w:tc>
          <w:tcPr>
            <w:tcW w:type="dxa" w:w="2340"/>
          </w:tcPr>
          <w:p>
            <w:r>
              <w:t>FCA</w:t>
            </w:r>
          </w:p>
        </w:tc>
        <w:tc>
          <w:tcPr>
            <w:tcW w:type="dxa" w:w="2340"/>
          </w:tcPr>
          <w:p>
            <w:r>
              <w:t>Authorised under FSMA</w:t>
            </w:r>
          </w:p>
        </w:tc>
        <w:tc>
          <w:tcPr>
            <w:tcW w:type="dxa" w:w="2340"/>
          </w:tcPr>
          <w:p>
            <w:r>
              <w:t>UK-side retail investment services</w:t>
            </w:r>
          </w:p>
        </w:tc>
      </w:tr>
      <w:tr>
        <w:tc>
          <w:tcPr>
            <w:tcW w:type="dxa" w:w="2340"/>
          </w:tcPr>
          <w:p>
            <w:r>
              <w:t>Japan</w:t>
            </w:r>
          </w:p>
        </w:tc>
        <w:tc>
          <w:tcPr>
            <w:tcW w:type="dxa" w:w="2340"/>
          </w:tcPr>
          <w:p>
            <w:r>
              <w:t>JFSA / FFAJ</w:t>
            </w:r>
          </w:p>
        </w:tc>
        <w:tc>
          <w:tcPr>
            <w:tcW w:type="dxa" w:w="2340"/>
          </w:tcPr>
          <w:p>
            <w:r>
              <w:t>Type 1 Financial Instruments Business</w:t>
            </w:r>
          </w:p>
        </w:tc>
        <w:tc>
          <w:tcPr>
            <w:tcW w:type="dxa" w:w="2340"/>
          </w:tcPr>
          <w:p>
            <w:r>
              <w:t>Retail FX and CFD services in Japan</w:t>
            </w:r>
          </w:p>
        </w:tc>
      </w:tr>
      <w:tr>
        <w:tc>
          <w:tcPr>
            <w:tcW w:type="dxa" w:w="2340"/>
          </w:tcPr>
          <w:p>
            <w:r>
              <w:t>British Virgin Islands</w:t>
            </w:r>
          </w:p>
        </w:tc>
        <w:tc>
          <w:tcPr>
            <w:tcW w:type="dxa" w:w="2340"/>
          </w:tcPr>
          <w:p>
            <w:r>
              <w:t>BVI FSC</w:t>
            </w:r>
          </w:p>
        </w:tc>
        <w:tc>
          <w:tcPr>
            <w:tcW w:type="dxa" w:w="2340"/>
          </w:tcPr>
          <w:p>
            <w:r>
              <w:t>BVI investment business approval</w:t>
            </w:r>
          </w:p>
        </w:tc>
        <w:tc>
          <w:tcPr>
            <w:tcW w:type="dxa" w:w="2340"/>
          </w:tcPr>
          <w:p>
            <w:r>
              <w:t>International retail brokerage services</w:t>
            </w:r>
          </w:p>
        </w:tc>
      </w:tr>
      <w:tr>
        <w:tc>
          <w:tcPr>
            <w:tcW w:type="dxa" w:w="2340"/>
          </w:tcPr>
          <w:p>
            <w:r>
              <w:t>Abu Dhabi (UAE)</w:t>
            </w:r>
          </w:p>
        </w:tc>
        <w:tc>
          <w:tcPr>
            <w:tcW w:type="dxa" w:w="2340"/>
          </w:tcPr>
          <w:p>
            <w:r>
              <w:t>ADGM FSRA</w:t>
            </w:r>
          </w:p>
        </w:tc>
        <w:tc>
          <w:tcPr>
            <w:tcW w:type="dxa" w:w="2340"/>
          </w:tcPr>
          <w:p>
            <w:r>
              <w:t>Financial Services Permission</w:t>
            </w:r>
          </w:p>
        </w:tc>
        <w:tc>
          <w:tcPr>
            <w:tcW w:type="dxa" w:w="2340"/>
          </w:tcPr>
          <w:p>
            <w:r>
              <w:t>MENA retail brokerage services</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AvaTrade under this Agreement on the terms set forth below.  Phase 1 capability set, branded within the AvaTrade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AvaTrade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AvaTrade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AvaTrade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AVATRADE LTD.</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SF Private Bank  (OG-SP-2026-SFPB)</w:t>
      </w:r>
    </w:p>
    <w:p>
      <w:pPr>
        <w:spacing w:after="40"/>
        <w:ind w:left="360"/>
      </w:pPr>
      <w:r>
        <w:rPr>
          <w:b/>
        </w:rPr>
        <w:t xml:space="preserve">Region: </w:t>
      </w:r>
      <w:r>
        <w:t>United States + Canada</w:t>
      </w:r>
    </w:p>
    <w:p>
      <w:pPr>
        <w:spacing w:after="40"/>
        <w:ind w:left="360"/>
      </w:pPr>
      <w:r>
        <w:rPr>
          <w:b/>
        </w:rPr>
        <w:t xml:space="preserve">Role: </w:t>
      </w:r>
      <w:r>
        <w:t>US chartered private bank + BD + ATS + TA + FinCEN MSB + state money-transmitter + CIRO + CSA + FINTRAC stack; operator of SF Private Pay (PSP) including Zeekash agent rails and MyATMen ATM network; card issuance; merchant acquiring.</w:t>
      </w:r>
    </w:p>
    <w:p>
      <w:pPr>
        <w:spacing w:after="40"/>
        <w:ind w:left="360"/>
      </w:pPr>
      <w:r>
        <w:rPr>
          <w:b/>
        </w:rPr>
        <w:t xml:space="preserve">Coordination with this Partnership: </w:t>
      </w:r>
      <w:r>
        <w:t>Provides the regulated US/CA bank, BD, PSP, and card-issuance rails that every other named Lux ecosystem partner can plug into via the Lux backend (treasury / forex / bankd / amld).</w:t>
      </w:r>
    </w:p>
    <w:p>
      <w:pPr>
        <w:spacing w:after="40"/>
        <w:ind w:left="360"/>
      </w:pPr>
      <w:r>
        <w:rPr>
          <w:b/>
        </w:rPr>
        <w:t xml:space="preserve">Status: </w:t>
      </w:r>
      <w:r>
        <w:t>Brief delivered (sfpb_integration_brief.pdf); awaiting kickoff per §7 of the brief.</w:t>
      </w:r>
    </w:p>
    <w:p>
      <w:pPr>
        <w:spacing w:before="160" w:after="40"/>
      </w:pPr>
      <w:r>
        <w:rPr>
          <w:b/>
        </w:rPr>
        <w:t>SogoTrade, Inc.  (OG-SP-2026-SOGO)</w:t>
      </w:r>
    </w:p>
    <w:p>
      <w:pPr>
        <w:spacing w:after="40"/>
        <w:ind w:left="360"/>
      </w:pPr>
      <w:r>
        <w:rPr>
          <w:b/>
        </w:rPr>
        <w:t xml:space="preserve">Region: </w:t>
      </w:r>
      <w:r>
        <w:t>United States</w:t>
      </w:r>
    </w:p>
    <w:p>
      <w:pPr>
        <w:spacing w:after="40"/>
        <w:ind w:left="360"/>
      </w:pPr>
      <w:r>
        <w:rPr>
          <w:b/>
        </w:rPr>
        <w:t xml:space="preserve">Role: </w:t>
      </w:r>
      <w:r>
        <w:t>US registered broker-dealer; introduction + execution + distribution of US securities to a retail customer base.</w:t>
      </w:r>
    </w:p>
    <w:p>
      <w:pPr>
        <w:spacing w:after="40"/>
        <w:ind w:left="360"/>
      </w:pPr>
      <w:r>
        <w:rPr>
          <w:b/>
        </w:rPr>
        <w:t xml:space="preserve">Coordination with this Partnership: </w:t>
      </w:r>
      <w:r>
        <w:t>Uses SFPB for ACH/wire settlement, card-funded buy-side deposits, and (optionally) the SF Private Bank ATS as an additional execution venue. Customer KYC via Simplici.io with WRA reliance from SFPB.</w:t>
      </w:r>
    </w:p>
    <w:p>
      <w:pPr>
        <w:spacing w:after="40"/>
        <w:ind w:left="360"/>
      </w:pPr>
      <w:r>
        <w:rPr>
          <w:b/>
        </w:rPr>
        <w:t xml:space="preserve">Status: </w:t>
      </w:r>
      <w:r>
        <w:t>Agreement delivered.</w:t>
      </w:r>
    </w:p>
    <w:p>
      <w:pPr>
        <w:spacing w:before="160" w:after="40"/>
      </w:pPr>
      <w:r>
        <w:rPr>
          <w:b/>
        </w:rPr>
        <w:t>Atmen Ltd.  (OG-SP-2026-ATM)</w:t>
      </w:r>
    </w:p>
    <w:p>
      <w:pPr>
        <w:spacing w:after="40"/>
        <w:ind w:left="360"/>
      </w:pPr>
      <w:r>
        <w:rPr>
          <w:b/>
        </w:rPr>
        <w:t xml:space="preserve">Region: </w:t>
      </w:r>
      <w:r>
        <w:t>United Kingdom</w:t>
      </w:r>
    </w:p>
    <w:p>
      <w:pPr>
        <w:spacing w:after="40"/>
        <w:ind w:left="360"/>
      </w:pPr>
      <w:r>
        <w:rPr>
          <w:b/>
        </w:rPr>
        <w:t xml:space="preserve">Role: </w:t>
      </w:r>
      <w:r>
        <w:t>Culture-led consumer banking and payments application (“Atmen --- Culture meets Currency”) serving an international diaspora customer base.</w:t>
      </w:r>
    </w:p>
    <w:p>
      <w:pPr>
        <w:spacing w:after="40"/>
        <w:ind w:left="360"/>
      </w:pPr>
      <w:r>
        <w:rPr>
          <w:b/>
        </w:rPr>
        <w:t xml:space="preserve">Coordination with this Partnership: </w:t>
      </w:r>
      <w:r>
        <w:t>Uses SFPB for US-dollar deposit accounts, US-issued cards, ACH/wire/FedNow settlement, and stablecoin on/off-ramp. Cross-border GBP ↔ USD via forex/currencycloud + SFPB. Customer onboarding via Simplici.io. Reliance Agreement with SFPB for CIP records.</w:t>
      </w:r>
    </w:p>
    <w:p>
      <w:pPr>
        <w:spacing w:after="40"/>
        <w:ind w:left="360"/>
      </w:pPr>
      <w:r>
        <w:rPr>
          <w:b/>
        </w:rPr>
        <w:t xml:space="preserve">Status: </w:t>
      </w:r>
      <w:r>
        <w:t>Agreement delivered.</w:t>
      </w:r>
    </w:p>
    <w:p>
      <w:pPr>
        <w:spacing w:before="160" w:after="40"/>
      </w:pPr>
      <w:r>
        <w:rPr>
          <w:b/>
        </w:rPr>
        <w:t>Salaam Somali Bank  (OG-SP-2026-SSB)</w:t>
      </w:r>
    </w:p>
    <w:p>
      <w:pPr>
        <w:spacing w:after="40"/>
        <w:ind w:left="360"/>
      </w:pPr>
      <w:r>
        <w:rPr>
          <w:b/>
        </w:rPr>
        <w:t xml:space="preserve">Region: </w:t>
      </w:r>
      <w:r>
        <w:t>Somalia + Horn of Africa diaspora</w:t>
      </w:r>
    </w:p>
    <w:p>
      <w:pPr>
        <w:spacing w:after="40"/>
        <w:ind w:left="360"/>
      </w:pPr>
      <w:r>
        <w:rPr>
          <w:b/>
        </w:rPr>
        <w:t xml:space="preserve">Role: </w:t>
      </w:r>
      <w:r>
        <w:t>Somalia’s first privately owned commercial bank (2009); ~45% market share; ISO 9001:2015 certified; SWIFT member; primary banker of the Somali Federal Government; full Shariah-compliant product set (Murabahah, Mudharabah, Musharakah, Ijaarah).</w:t>
      </w:r>
    </w:p>
    <w:p>
      <w:pPr>
        <w:spacing w:after="40"/>
        <w:ind w:left="360"/>
      </w:pPr>
      <w:r>
        <w:rPr>
          <w:b/>
        </w:rPr>
        <w:t xml:space="preserve">Coordination with this Partnership: </w:t>
      </w:r>
      <w:r>
        <w:t>Uses SFPB for the US/CA diaspora corridor (SFPay cash-in, card issuance to diaspora customers, USD wire settlement, Reg D 506(c) / Reg S Mudharabah subscriptions through SF Private Bank’s BD + ATS). Customer onboarding via Simplici.io with WRA reliance from both sides. Shariah Supervisory Board approval of every on-chain Mudharabah / Murabahah representation. Drought-linked parametric Takaful settled in stablecoin on Lux Network.</w:t>
      </w:r>
    </w:p>
    <w:p>
      <w:pPr>
        <w:spacing w:after="40"/>
        <w:ind w:left="360"/>
      </w:pPr>
      <w:r>
        <w:rPr>
          <w:b/>
        </w:rPr>
        <w:t xml:space="preserve">Status: </w:t>
      </w:r>
      <w:r>
        <w:t>Strategic paper delivered (papers/lux-ssb-partnership/). Agreement generated in this session.</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