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jc w:val="center"/>
      </w:pPr>
      <w:r>
        <w:rPr>
          <w:b/>
          <w:sz w:val="28"/>
        </w:rPr>
        <w:t>STRATEGIC PARTNERSHIP AND DISTRIBUTION AGREEMENT</w:t>
      </w:r>
    </w:p>
    <w:p>
      <w:pPr>
        <w:spacing w:after="120"/>
        <w:jc w:val="center"/>
      </w:pPr>
      <w:r>
        <w:rPr>
          <w:b w:val="0"/>
          <w:i/>
        </w:rPr>
        <w:t>(Lux Industries Inc.  and  Salaam Somali Bank)</w:t>
      </w:r>
    </w:p>
    <w:p>
      <w:pPr>
        <w:spacing w:after="120"/>
        <w:jc w:val="both"/>
      </w:pPr>
      <w:r>
        <w:rPr>
          <w:b w:val="0"/>
          <w:i w:val="0"/>
        </w:rPr>
        <w:t>This Strategic Partnership and Distribution Agreement (this “Agreement”) is entered into as of the date on which at least one Phase 1 service is implemented and made available for production use, as mutually confirmed in writing by the Parties (the “Effective Date”), by and between (i) Lux Industries Inc., a Delaware corporation with its principal place of business in the State of Delaware (“Lux Industries” or the “Principal”), and (ii) Salaam Somali Bank, a Somali commercial bank licensed by the Central Bank of Somalia (CBS) and headquartered in Mogadishu, Federal Republic of Somalia, with registered office at K4 Junction, Maka al-Mukarama Road, Hodan District, Mogadishu, Somalia (CBS-licensed commercial bank; SWIFT BIC SALMSOSO) (“SSB” or the “Local Partner”).  Lux Industries and SSB may be referred to individually as a “Party” and collectively as the “Parties”.</w:t>
      </w:r>
    </w:p>
    <w:p>
      <w:pPr>
        <w:spacing w:after="120"/>
        <w:jc w:val="both"/>
      </w:pPr>
      <w:r>
        <w:rPr>
          <w:b w:val="0"/>
          <w:i w:val="0"/>
        </w:rPr>
        <w:t>WHEREAS, Lux Industries operates an open, jurisdiction-neutral technology, identity, payments, and capital-markets coordination platform (the “Lux Network”) intended to serve as a unified rail across the world’s communities — including but not limited to historically displaced and diasporic communities of African, Indigenous, Persian, South Asian, East Asian, and Latin American origin — by enabling licensed local partners in each jurisdiction to plug into a single, composable infrastructure on equal commercial footing;</w:t>
      </w:r>
    </w:p>
    <w:p>
      <w:pPr>
        <w:spacing w:after="120"/>
        <w:jc w:val="both"/>
      </w:pPr>
      <w:r>
        <w:rPr>
          <w:b w:val="0"/>
          <w:i w:val="0"/>
        </w:rPr>
        <w:t>WHEREAS, SSB is the oldest and largest privately owned commercial bank in Somalia, holding approximately a 45% market share, with ISO 9001:2015 certification, membership of the SWIFT network, and a full Shariah-compliant product set (Murabahah, Mudharabah, Musharakah, Ijaarah) that holds, or is affiliated with entities that hold, the licenses and registrations set forth in Schedule 1, and desires to make those regulated capabilities available to a wider customer base through a coordinated commercial relationship with the Principal;</w:t>
      </w:r>
    </w:p>
    <w:p>
      <w:pPr>
        <w:spacing w:after="120"/>
        <w:jc w:val="both"/>
      </w:pPr>
      <w:r>
        <w:rPr>
          <w:b w:val="0"/>
          <w:i w:val="0"/>
        </w:rPr>
        <w:t>WHEREAS, Lux Industries desires to make available to SSB, on a coordinated commercial basis, (a) the Simplici.io digital onboarding and compliance platform, (b) Lux Network technology and integration services, and (c) where set forth in Schedule 2, the SF Private Pay payment service provider (“SF Private Pay”), including the cash and ATM rails made available through Zeekash (zeekash.com) and MyATMen (myatmen.com);</w:t>
      </w:r>
    </w:p>
    <w:p>
      <w:pPr>
        <w:spacing w:after="120"/>
        <w:jc w:val="both"/>
      </w:pPr>
      <w:r>
        <w:rPr>
          <w:b w:val="0"/>
          <w:i w:val="0"/>
        </w:rPr>
        <w:t>WHEREAS, the Parties desire to set forth binding terms governing their commercial relationship on a true partnership basis, with net revenue above documented costs split fifty / fifty between the Parties, subject to applicable regulatory requirements, approvals, and each Party’s supervisory and compliance obligations;</w:t>
      </w:r>
    </w:p>
    <w:p>
      <w:pPr>
        <w:spacing w:after="120"/>
        <w:jc w:val="both"/>
      </w:pPr>
      <w:r>
        <w:rPr>
          <w:b w:val="0"/>
          <w:i w:val="0"/>
        </w:rPr>
        <w:t>NOW, THEREFORE, in consideration of the mutual covenants and agreements set forth herein, the Parties agree as follows:</w:t>
      </w:r>
    </w:p>
    <w:p>
      <w:pPr>
        <w:keepNext/>
        <w:spacing w:before="200" w:after="80"/>
        <w:jc w:val="left"/>
      </w:pPr>
      <w:r>
        <w:rPr>
          <w:b/>
          <w:sz w:val="24"/>
        </w:rPr>
        <w:t>ARTICLE 1 — DEFINITIONS</w:t>
      </w:r>
    </w:p>
    <w:p>
      <w:pPr>
        <w:spacing w:after="80"/>
      </w:pPr>
      <w:r>
        <w:rPr>
          <w:b/>
        </w:rPr>
        <w:t xml:space="preserve">“AML” </w:t>
      </w:r>
      <w:r>
        <w:t>means anti-money laundering.</w:t>
      </w:r>
    </w:p>
    <w:p>
      <w:pPr>
        <w:spacing w:after="80"/>
      </w:pPr>
      <w:r>
        <w:rPr>
          <w:b/>
        </w:rPr>
        <w:t xml:space="preserve">“CIP” </w:t>
      </w:r>
      <w:r>
        <w:t>means customer identification program and equivalent customer due diligence requirements under any applicable jurisdiction’s rules.</w:t>
      </w:r>
    </w:p>
    <w:p>
      <w:pPr>
        <w:spacing w:after="80"/>
      </w:pPr>
      <w:r>
        <w:rPr>
          <w:b/>
        </w:rPr>
        <w:t xml:space="preserve">“Confidential Information” </w:t>
      </w:r>
      <w:r>
        <w:t>means has the meaning set forth in §12.1.</w:t>
      </w:r>
    </w:p>
    <w:p>
      <w:pPr>
        <w:spacing w:after="80"/>
      </w:pPr>
      <w:r>
        <w:rPr>
          <w:b/>
        </w:rPr>
        <w:t xml:space="preserve">“Documented Costs” </w:t>
      </w:r>
      <w:r>
        <w:t>means has the meaning set forth in §5.1.1.</w:t>
      </w:r>
    </w:p>
    <w:p>
      <w:pPr>
        <w:spacing w:after="80"/>
      </w:pPr>
      <w:r>
        <w:rPr>
          <w:b/>
        </w:rPr>
        <w:t xml:space="preserve">“Effective Date” </w:t>
      </w:r>
      <w:r>
        <w:t>means has the meaning set forth in the preamble.</w:t>
      </w:r>
    </w:p>
    <w:p>
      <w:pPr>
        <w:spacing w:after="80"/>
      </w:pPr>
      <w:r>
        <w:rPr>
          <w:b/>
        </w:rPr>
        <w:t xml:space="preserve">“Gross Partnership Revenue” </w:t>
      </w:r>
      <w:r>
        <w:t>means has the meaning set forth in §5.1.</w:t>
      </w:r>
    </w:p>
    <w:p>
      <w:pPr>
        <w:spacing w:after="80"/>
      </w:pPr>
      <w:r>
        <w:rPr>
          <w:b/>
        </w:rPr>
        <w:t xml:space="preserve">“Local Partner Licensed Activity” </w:t>
      </w:r>
      <w:r>
        <w:t>means any regulated trading, execution, settlement, clearing, custody, transfer-agent, banking, payment-services, e-money, money-transmission, or similar regulated activity conducted by SSB or its affiliates under the licenses and registrations set forth in Schedule 1.</w:t>
      </w:r>
    </w:p>
    <w:p>
      <w:pPr>
        <w:spacing w:after="80"/>
      </w:pPr>
      <w:r>
        <w:rPr>
          <w:b/>
        </w:rPr>
        <w:t xml:space="preserve">“Lux Network” </w:t>
      </w:r>
      <w:r>
        <w:t>means the open, jurisdiction-neutral technology, identity, payments, and capital-markets coordination platform operated by Lux Industries, including the Lux Network blockchain, identity primitives, settlement primitives, and associated APIs and SDKs.</w:t>
      </w:r>
    </w:p>
    <w:p>
      <w:pPr>
        <w:spacing w:after="80"/>
      </w:pPr>
      <w:r>
        <w:rPr>
          <w:b/>
        </w:rPr>
        <w:t xml:space="preserve">“Net Partnership Revenue” </w:t>
      </w:r>
      <w:r>
        <w:t>means has the meaning set forth in §5.1.</w:t>
      </w:r>
    </w:p>
    <w:p>
      <w:pPr>
        <w:spacing w:after="80"/>
      </w:pPr>
      <w:r>
        <w:rPr>
          <w:b/>
        </w:rPr>
        <w:t xml:space="preserve">“Platform Terms” </w:t>
      </w:r>
      <w:r>
        <w:t>means the applicable platform-specific agreements, order forms, subscription terms, onboarding documents, terms of use, policies, disclosures, rulebooks, procedures, data processing terms, security terms, technical requirements, and other provider documentation applicable to access to or use of Simplici.io, the Lux Network, SF Private Pay, or any related services.</w:t>
      </w:r>
    </w:p>
    <w:p>
      <w:pPr>
        <w:spacing w:after="80"/>
      </w:pPr>
      <w:r>
        <w:rPr>
          <w:b/>
        </w:rPr>
        <w:t xml:space="preserve">“SF Private Pay” </w:t>
      </w:r>
      <w:r>
        <w:t>means the SF Private Bank payment service provider product, integrating Zeekash cash rails (zeekash.com), MyATMen ATM rails (myatmen.com), card issuance, and applicable local payment rails, made available to the Local Partner on the terms set forth in Schedule 2 (if attached).</w:t>
      </w:r>
    </w:p>
    <w:p>
      <w:pPr>
        <w:spacing w:after="80"/>
      </w:pPr>
      <w:r>
        <w:rPr>
          <w:b/>
        </w:rPr>
        <w:t xml:space="preserve">“Simplici.io” </w:t>
      </w:r>
      <w:r>
        <w:t>means the digital onboarding and compliance infrastructure platform operated by Simplici, including related APIs, workflows, and modules.</w:t>
      </w:r>
    </w:p>
    <w:p>
      <w:pPr>
        <w:spacing w:after="80"/>
      </w:pPr>
      <w:r>
        <w:rPr>
          <w:b/>
        </w:rPr>
        <w:t xml:space="preserve">“WRA” </w:t>
      </w:r>
      <w:r>
        <w:t>means wide reliance agreement or similar arrangement for reliance on KYC/CIP records as permitted under applicable rules and guidance.</w:t>
      </w:r>
    </w:p>
    <w:p>
      <w:pPr>
        <w:keepNext/>
        <w:spacing w:before="200" w:after="80"/>
        <w:jc w:val="left"/>
      </w:pPr>
      <w:r>
        <w:rPr>
          <w:b/>
          <w:sz w:val="24"/>
        </w:rPr>
        <w:t>ARTICLE 2 — PARTNERSHIP STRUCTURE</w:t>
      </w:r>
    </w:p>
    <w:p>
      <w:pPr>
        <w:keepNext/>
        <w:spacing w:before="120" w:after="40"/>
      </w:pPr>
      <w:r>
        <w:rPr>
          <w:b/>
        </w:rPr>
        <w:t>2.1  Non-Exclusive Relationship.</w:t>
      </w:r>
    </w:p>
    <w:p>
      <w:pPr>
        <w:spacing w:after="120"/>
        <w:jc w:val="both"/>
      </w:pPr>
      <w:r>
        <w:rPr>
          <w:b w:val="0"/>
          <w:i w:val="0"/>
        </w:rPr>
        <w:t>The relationship contemplated by this Agreement is non-exclusive.  Nothing in this Agreement grants any exclusivity, right of first refusal, right of first negotiation, or similar preferential right to either Party.</w:t>
      </w:r>
    </w:p>
    <w:p>
      <w:pPr>
        <w:keepNext/>
        <w:spacing w:before="120" w:after="40"/>
      </w:pPr>
      <w:r>
        <w:rPr>
          <w:b/>
        </w:rPr>
        <w:t>2.2  No Obligation to Implement Beyond Scope.</w:t>
      </w:r>
    </w:p>
    <w:p>
      <w:pPr>
        <w:spacing w:after="120"/>
        <w:jc w:val="both"/>
      </w:pPr>
      <w:r>
        <w:rPr>
          <w:b w:val="0"/>
          <w:i w:val="0"/>
        </w:rPr>
        <w:t>Except as expressly set forth in this Agreement and the applicable Statements of Work or implementation plans agreed in writing by the Parties, neither Party is obligated to implement integrations, product rollouts, or commercial programs.</w:t>
      </w:r>
    </w:p>
    <w:p>
      <w:pPr>
        <w:keepNext/>
        <w:spacing w:before="120" w:after="40"/>
      </w:pPr>
      <w:r>
        <w:rPr>
          <w:b/>
        </w:rPr>
        <w:t>2.3  Allocation of Regulated Functions.</w:t>
      </w:r>
    </w:p>
    <w:p>
      <w:pPr>
        <w:spacing w:after="120"/>
        <w:jc w:val="both"/>
      </w:pPr>
      <w:r>
        <w:rPr>
          <w:b w:val="0"/>
          <w:i w:val="0"/>
        </w:rPr>
        <w:t>All Local Partner Licensed Activity is and shall remain the responsibility of SSB and its regulated affiliates under the licenses and registrations set forth in Schedule 1.  Lux Industries provides technology, identity, settlement, and commercial-coordination services, and does not perform broker-dealer, transfer-agent, ATS, banking, e-money, payment-institution, or similar regulated functions on its own account under this Agreement.  Nothing in this Agreement is intended to shift regulated functions, supervisory authority, or examination responsibility from one Party to the other.</w:t>
      </w:r>
    </w:p>
    <w:p>
      <w:pPr>
        <w:keepNext/>
        <w:spacing w:before="120" w:after="40"/>
      </w:pPr>
      <w:r>
        <w:rPr>
          <w:b/>
        </w:rPr>
        <w:t>2.4  Affiliates and Third-Party Providers.</w:t>
      </w:r>
    </w:p>
    <w:p>
      <w:pPr>
        <w:spacing w:after="120"/>
        <w:jc w:val="both"/>
      </w:pPr>
      <w:r>
        <w:rPr>
          <w:b w:val="0"/>
          <w:i w:val="0"/>
        </w:rPr>
        <w:t>Either Party may perform any of its obligations under this Agreement through an affiliate or duly engaged third-party provider, provided that the engaging Party remains responsible for its obligations hereunder.  SSB may rely on its existing licensed affiliates to conduct Local Partner Licensed Activity, and Lux Industries may rely on Simplici, the operators of the Zeekash Rails and the ATM Rails, and other technology and payments providers in delivering its services.</w:t>
      </w:r>
    </w:p>
    <w:p>
      <w:pPr>
        <w:keepNext/>
        <w:spacing w:before="120" w:after="40"/>
      </w:pPr>
      <w:r>
        <w:rPr>
          <w:b/>
        </w:rPr>
        <w:t>2.5  Platform Terms.</w:t>
      </w:r>
    </w:p>
    <w:p>
      <w:pPr>
        <w:spacing w:after="120"/>
        <w:jc w:val="both"/>
      </w:pPr>
      <w:r>
        <w:rPr>
          <w:b w:val="0"/>
          <w:i w:val="0"/>
        </w:rPr>
        <w:t>SSB’s access to and use of Simplici.io, the Lux Network, SF Private Pay (if applicable), and any related services shall be subject to the applicable Platform Terms.  In the event of any conflict between this Agreement and the applicable Platform Terms, the Platform Terms shall control with respect to operation, access, use, data processing, information security, compliance procedures, and technical requirements of the applicable platform; provided that the commercial pricing and the 50/50 net-revenue split expressly set forth in this Agreement shall control unless modified by a mutually executed order form, platform agreement, or amendment.</w:t>
      </w:r>
    </w:p>
    <w:p>
      <w:pPr>
        <w:keepNext/>
        <w:spacing w:before="200" w:after="80"/>
        <w:jc w:val="left"/>
      </w:pPr>
      <w:r>
        <w:rPr>
          <w:b/>
          <w:sz w:val="24"/>
        </w:rPr>
        <w:t>ARTICLE 3 — COVERED SERVICES</w:t>
      </w:r>
    </w:p>
    <w:p>
      <w:pPr>
        <w:keepNext/>
        <w:spacing w:before="120" w:after="40"/>
      </w:pPr>
      <w:r>
        <w:rPr>
          <w:b/>
        </w:rPr>
        <w:t>3.1  Phase 1 Covered Services.</w:t>
      </w:r>
    </w:p>
    <w:p>
      <w:pPr>
        <w:spacing w:after="120"/>
        <w:jc w:val="both"/>
      </w:pPr>
      <w:r>
        <w:rPr>
          <w:b w:val="0"/>
          <w:i w:val="0"/>
        </w:rPr>
        <w:t>During Phase 1, Lux Industries shall make available, and facilitate access to and coordinate availability of, the following:</w:t>
      </w:r>
    </w:p>
    <w:p>
      <w:pPr>
        <w:pStyle w:val="ListBullet"/>
        <w:spacing w:after="40"/>
      </w:pPr>
      <w:r>
        <w:t>(a) Simplici.io onboarding and compliance workflows, including digital onboarding for retail and (where applicable) accredited / institutional / elective-professional customers; identity verification; KYC; CIP / CDD; AML; sanctions and PEP screening; recordkeeping; and API-based and white-labeled deployment integrated into the SSB customer experience;</w:t>
      </w:r>
    </w:p>
    <w:p>
      <w:pPr>
        <w:pStyle w:val="ListBullet"/>
        <w:spacing w:after="40"/>
      </w:pPr>
      <w:r>
        <w:t>(b) Lux Network integration, including identity, content-addressed audit, and (where applicable) settlement primitives used to record and reconcile activity arising from the SSB customer base under the Local Partner Licensed Activity; and</w:t>
      </w:r>
    </w:p>
    <w:p>
      <w:pPr>
        <w:pStyle w:val="ListBullet"/>
        <w:spacing w:after="40"/>
      </w:pPr>
      <w:r>
        <w:t>(c) SF Private Pay PSP enablement as set forth in Schedule 2, pursuant to which SSB may offer its customers cash-in / cash-out, ATM, card, applicable local payment-rail, and on/off-ramp services using the SF Private Pay product stack, including the Zeekash Rails (zeekash.com) and the ATM Rails (myatmen.com), subject to applicable Platform Terms and required approvals.</w:t>
      </w:r>
    </w:p>
    <w:p>
      <w:pPr>
        <w:keepNext/>
        <w:spacing w:before="120" w:after="40"/>
      </w:pPr>
      <w:r>
        <w:rPr>
          <w:b/>
        </w:rPr>
        <w:t>3.2  Local Partner Distribution.</w:t>
      </w:r>
    </w:p>
    <w:p>
      <w:pPr>
        <w:spacing w:after="120"/>
        <w:jc w:val="both"/>
      </w:pPr>
      <w:r>
        <w:rPr>
          <w:b w:val="0"/>
          <w:i w:val="0"/>
        </w:rPr>
        <w:t>During Phase 1, SSB shall make available to its customer base, on a basis consistent with its regulatory permissions and supervisory procedures, the products and services produced through the Local Partner Licensed Activity, and shall coordinate with Lux Industries on go-to-market, customer onboarding, compliance, and operational integration matters.</w:t>
      </w:r>
    </w:p>
    <w:p>
      <w:pPr>
        <w:keepNext/>
        <w:spacing w:before="120" w:after="40"/>
      </w:pPr>
      <w:r>
        <w:rPr>
          <w:b/>
        </w:rPr>
        <w:t>3.3  Phase 2 Exploratory / Future Scope.</w:t>
      </w:r>
    </w:p>
    <w:p>
      <w:pPr>
        <w:spacing w:after="120"/>
        <w:jc w:val="both"/>
      </w:pPr>
      <w:r>
        <w:rPr>
          <w:b w:val="0"/>
          <w:i w:val="0"/>
        </w:rPr>
        <w:t>Phase 2 items may include additional jurisdictional licensure, additional venue or rail connectivity, tokenized securities concepts, and additional payment-rail integrations, in each case subject to separate diligence, regulatory review, approvals, and mutually agreed written documentation.</w:t>
      </w:r>
    </w:p>
    <w:p>
      <w:pPr>
        <w:keepNext/>
        <w:spacing w:before="200" w:after="80"/>
        <w:jc w:val="left"/>
      </w:pPr>
      <w:r>
        <w:rPr>
          <w:b/>
          <w:sz w:val="24"/>
        </w:rPr>
        <w:t>ARTICLE 4 — OBJECTIVES</w:t>
      </w:r>
    </w:p>
    <w:p>
      <w:pPr>
        <w:spacing w:after="120"/>
        <w:jc w:val="both"/>
      </w:pPr>
      <w:r>
        <w:rPr>
          <w:b w:val="0"/>
          <w:i w:val="0"/>
        </w:rPr>
        <w:t>The Parties intend that the commercial relationship under this Agreement will: (a) make available to SSB’s customers the combined capabilities of SSB’s licensed regulated stack and the Lux Network technology and coordination stack; (b) reduce onboarding friction, cost, and fraud risk through Simplici.io; (c) where in scope, enable SSB to offer SF Private Pay as a PSP for customer cash, ATM, card, and on/off-ramp flows; and (d) align Party incentives on a true partnership basis through the 50/50 net-revenue split set forth in Article 5.</w:t>
      </w:r>
    </w:p>
    <w:p>
      <w:pPr>
        <w:keepNext/>
        <w:spacing w:before="200" w:after="80"/>
        <w:jc w:val="left"/>
      </w:pPr>
      <w:r>
        <w:rPr>
          <w:b/>
          <w:sz w:val="24"/>
        </w:rPr>
        <w:t>ARTICLE 5 — COMMERCIAL TERMS</w:t>
      </w:r>
    </w:p>
    <w:p>
      <w:pPr>
        <w:keepNext/>
        <w:spacing w:before="120" w:after="40"/>
      </w:pPr>
      <w:r>
        <w:rPr>
          <w:b/>
        </w:rPr>
        <w:t>5.1  Net-Revenue Split (50 / 50 Above Documented Costs).</w:t>
      </w:r>
    </w:p>
    <w:p>
      <w:pPr>
        <w:spacing w:after="120"/>
        <w:jc w:val="both"/>
      </w:pPr>
      <w:r>
        <w:rPr>
          <w:b w:val="0"/>
          <w:i w:val="0"/>
        </w:rPr>
        <w:t>The Parties intend a true partnership economic.  On all gross revenue earned by either Party (or its affiliates) that is attributable to the combined activity contemplated by this Agreement — including (a) revenue earned by Lux Industries in respect of SSB’s flow on the Lux Network or associated services and (b) revenue earned by SSB in respect of Local Partner Licensed Activity conducted for customers acquired, retained, or serviced in connection with the partnership — (such gross revenue, “Gross Partnership Revenue”), the Parties shall first deduct the Documented Costs (defined below) reasonably and directly incurred by either Party in producing such revenue, and shall then split the remaining amount (the “Net Partnership Revenue”) fifty percent (50%) to Lux Industries and fifty percent (50%) to SSB.</w:t>
      </w:r>
    </w:p>
    <w:p>
      <w:pPr>
        <w:keepNext/>
        <w:spacing w:before="120" w:after="40"/>
      </w:pPr>
      <w:r>
        <w:rPr>
          <w:b/>
        </w:rPr>
        <w:t>5.1.1  Documented Costs — Definition.</w:t>
      </w:r>
    </w:p>
    <w:p>
      <w:pPr>
        <w:spacing w:after="120"/>
        <w:jc w:val="both"/>
      </w:pPr>
      <w:r>
        <w:rPr>
          <w:b w:val="0"/>
          <w:i w:val="0"/>
        </w:rPr>
        <w:t>“Documented Costs” means out-of-pocket third-party costs and directly-attributable internal costs of either Party reasonably and directly incurred in producing Gross Partnership Revenue, supported by invoices, ledger entries, or other reasonable documentation, and limited to the following categories: (a) execution, clearing, settlement, custody, and regulatory transaction fees charged by exchanges, clearing agencies, regulators, or SROs; (b) market-data, connectivity, and order-routing costs directly used for the relevant flow; (c) per-customer onboarding usage costs actually paid for verifying the underlying customer (e.g., Simplici.io per-check fees); (d) payment-rail, interchange, ATM-network, and KYC pass-through costs directly attributable to the relevant transactions; (e) the per-Internal-User Simplici.io subscription cost actually paid; and (f) other categories the Parties may agree in writing.  General overhead, marketing, salaries of personnel not directly assigned to the partnership flow, taxes on income, cost of capital, and any cost not reasonably and directly attributable to producing Gross Partnership Revenue are excluded from Documented Costs.</w:t>
      </w:r>
    </w:p>
    <w:p>
      <w:pPr>
        <w:keepNext/>
        <w:spacing w:before="120" w:after="40"/>
      </w:pPr>
      <w:r>
        <w:rPr>
          <w:b/>
        </w:rPr>
        <w:t>5.1.2  Books, Reconciliation, and Audit.</w:t>
      </w:r>
    </w:p>
    <w:p>
      <w:pPr>
        <w:spacing w:after="120"/>
        <w:jc w:val="both"/>
      </w:pPr>
      <w:r>
        <w:rPr>
          <w:b w:val="0"/>
          <w:i w:val="0"/>
        </w:rPr>
        <w:t>Lux Industries shall maintain a complete books-and-records ledger of Gross Partnership Revenue and Documented Costs on a per-transaction basis, and shall deliver a monthly statement to SSB within fifteen (15) business days of each calendar month-end showing, for the prior month, Gross Partnership Revenue, Documented Costs by category, Net Partnership Revenue, and the resulting 50/50 split.  SSB shall reciprocally report any Gross Partnership Revenue earned directly by SSB or its affiliates that is in scope under §5.1, together with directly attributable Documented Costs, on the same monthly cadence.  Either Party shall have the right, no more than twice per calendar year and on thirty (30) days’ prior written notice, to audit the other Party’s books and records at its sole expense (or, if the audit discloses an underpayment of more than five percent (5%) for the audited period, at the expense of the underpaying Party).</w:t>
      </w:r>
    </w:p>
    <w:p>
      <w:pPr>
        <w:keepNext/>
        <w:spacing w:before="120" w:after="40"/>
      </w:pPr>
      <w:r>
        <w:rPr>
          <w:b/>
        </w:rPr>
        <w:t>5.1.3  Settlement.</w:t>
      </w:r>
    </w:p>
    <w:p>
      <w:pPr>
        <w:spacing w:after="120"/>
        <w:jc w:val="both"/>
      </w:pPr>
      <w:r>
        <w:rPr>
          <w:b w:val="0"/>
          <w:i w:val="0"/>
        </w:rPr>
        <w:t>The Parties shall net the monthly statements and shall remit the resulting balance in respect of each calendar month by wire transfer of immediately available funds within thirty (30) days after delivery of the monthly statements, to the account designated by the receiving Party in writing.</w:t>
      </w:r>
    </w:p>
    <w:p>
      <w:pPr>
        <w:keepNext/>
        <w:spacing w:before="120" w:after="40"/>
      </w:pPr>
      <w:r>
        <w:rPr>
          <w:b/>
        </w:rPr>
        <w:t>5.1.4  Eligible Flow; Exclusions.</w:t>
      </w:r>
    </w:p>
    <w:p>
      <w:pPr>
        <w:spacing w:after="120"/>
        <w:jc w:val="both"/>
      </w:pPr>
      <w:r>
        <w:rPr>
          <w:b w:val="0"/>
          <w:i w:val="0"/>
        </w:rPr>
        <w:t>Gross Partnership Revenue excludes (a) revenue from proprietary trades or principal positions of either Party that are unrelated to partnership flow, (b) revenue from third-party flow not associated with SSB or with the partnership contemplated by this Agreement, and (c) any specific revenue streams the Parties agree in writing to exclude.</w:t>
      </w:r>
    </w:p>
    <w:p>
      <w:pPr>
        <w:keepNext/>
        <w:spacing w:before="120" w:after="40"/>
      </w:pPr>
      <w:r>
        <w:rPr>
          <w:b/>
        </w:rPr>
        <w:t>5.2  Customer Markup Rights.</w:t>
      </w:r>
    </w:p>
    <w:p>
      <w:pPr>
        <w:spacing w:after="120"/>
        <w:jc w:val="both"/>
      </w:pPr>
      <w:r>
        <w:rPr>
          <w:b w:val="0"/>
          <w:i w:val="0"/>
        </w:rPr>
        <w:t>SSB may charge additional spread, commission, or other pricing to its customers in respect of products produced through the Local Partner Licensed Activity, and SSB shall retain one hundred percent (100%) of such customer-facing markups, subject to applicable law and SSB’s policies.  Such customer-facing markups are not part of Gross Partnership Revenue and are not subject to the 50/50 split.</w:t>
      </w:r>
    </w:p>
    <w:p>
      <w:pPr>
        <w:keepNext/>
        <w:spacing w:before="120" w:after="40"/>
      </w:pPr>
      <w:r>
        <w:rPr>
          <w:b/>
        </w:rPr>
        <w:t>5.3  Simplici.io Subscription Pricing.</w:t>
      </w:r>
    </w:p>
    <w:p>
      <w:pPr>
        <w:spacing w:after="120"/>
        <w:jc w:val="both"/>
      </w:pPr>
      <w:r>
        <w:rPr>
          <w:b w:val="0"/>
          <w:i w:val="0"/>
        </w:rPr>
        <w:t>SSB shall subscribe to Simplici.io and pay subscription fees to Lux Industries, or such affiliate as Lux Industries designates in the applicable invoice, Order Form, or Platform Terms.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Term</w:t>
            </w:r>
          </w:p>
        </w:tc>
        <w:tc>
          <w:tcPr>
            <w:tcW w:type="dxa" w:w="4680"/>
          </w:tcPr>
          <w:p>
            <w:r/>
            <w:r>
              <w:rPr>
                <w:b/>
              </w:rPr>
              <w:t>Commercial Terms</w:t>
            </w:r>
          </w:p>
        </w:tc>
      </w:tr>
      <w:tr>
        <w:tc>
          <w:tcPr>
            <w:tcW w:type="dxa" w:w="4680"/>
          </w:tcPr>
          <w:p>
            <w:r>
              <w:t>Base Platform Package</w:t>
            </w:r>
          </w:p>
        </w:tc>
        <w:tc>
          <w:tcPr>
            <w:tcW w:type="dxa" w:w="4680"/>
          </w:tcPr>
          <w:p>
            <w:r>
              <w:t>Simplici Business Plan and/or Simplici Compliance Plan, including core onboarding workflows, identity verification, API access, white-labeling, e-signature; plus (for Compliance Plan) CIP/KYC audit trails, AML case management, sanctions and PEP monitoring, WRA-ready recordkeeping, and examiner-friendly reporting.</w:t>
            </w:r>
          </w:p>
        </w:tc>
      </w:tr>
      <w:tr>
        <w:tc>
          <w:tcPr>
            <w:tcW w:type="dxa" w:w="4680"/>
          </w:tcPr>
          <w:p>
            <w:r>
              <w:t>Subscription Fee</w:t>
            </w:r>
          </w:p>
        </w:tc>
        <w:tc>
          <w:tcPr>
            <w:tcW w:type="dxa" w:w="4680"/>
          </w:tcPr>
          <w:p>
            <w:r>
              <w:t>USD $19.99 per Internal User per month (discounted enterprise rate).  Parties may evaluate a flat-fee model after initial implementation by written amendment.</w:t>
            </w:r>
          </w:p>
        </w:tc>
      </w:tr>
      <w:tr>
        <w:tc>
          <w:tcPr>
            <w:tcW w:type="dxa" w:w="4680"/>
          </w:tcPr>
          <w:p>
            <w:r>
              <w:t>Internal Users</w:t>
            </w:r>
          </w:p>
        </w:tc>
        <w:tc>
          <w:tcPr>
            <w:tcW w:type="dxa" w:w="4680"/>
          </w:tcPr>
          <w:p>
            <w:r>
              <w:t>Local Partner employees and contractors accessing Simplici.io for onboarding, compliance, operational review, or customer support purposes.</w:t>
            </w:r>
          </w:p>
        </w:tc>
      </w:tr>
      <w:tr>
        <w:tc>
          <w:tcPr>
            <w:tcW w:type="dxa" w:w="4680"/>
          </w:tcPr>
          <w:p>
            <w:r>
              <w:t>White Label &amp; API Access</w:t>
            </w:r>
          </w:p>
        </w:tc>
        <w:tc>
          <w:tcPr>
            <w:tcW w:type="dxa" w:w="4680"/>
          </w:tcPr>
          <w:p>
            <w:r>
              <w:t>Included (per published plan and Exhibit A integration requirements).</w:t>
            </w:r>
          </w:p>
        </w:tc>
      </w:tr>
    </w:tbl>
    <w:p>
      <w:pPr>
        <w:keepNext/>
        <w:spacing w:before="120" w:after="40"/>
      </w:pPr>
      <w:r>
        <w:rPr>
          <w:b/>
        </w:rPr>
        <w:t>5.4  Per-Client Onboarding Usage Fees (Pass-Through).</w:t>
      </w:r>
    </w:p>
    <w:p>
      <w:pPr>
        <w:spacing w:after="120"/>
        <w:jc w:val="both"/>
      </w:pPr>
      <w:r>
        <w:rPr>
          <w:b w:val="0"/>
          <w:i w:val="0"/>
        </w:rPr>
        <w:t>Per-client onboarding usage fees as set forth below are charged per verification check or per document, as applicable.  These fees are pass-through costs and constitute Documented Costs under §5.1.1.</w:t>
      </w:r>
    </w:p>
    <w:p>
      <w:pPr>
        <w:keepNext/>
        <w:spacing w:before="120" w:after="40"/>
      </w:pPr>
      <w:r>
        <w:rPr>
          <w:b/>
        </w:rPr>
        <w:t>5.4.1  Retail &amp; Accredited Individual Investor.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Onboarding Component</w:t>
            </w:r>
          </w:p>
        </w:tc>
        <w:tc>
          <w:tcPr>
            <w:tcW w:type="dxa" w:w="3120"/>
          </w:tcPr>
          <w:p>
            <w:r/>
            <w:r>
              <w:rPr>
                <w:b/>
              </w:rPr>
              <w:t>Unit Price (USD)</w:t>
            </w:r>
          </w:p>
        </w:tc>
        <w:tc>
          <w:tcPr>
            <w:tcW w:type="dxa" w:w="3120"/>
          </w:tcPr>
          <w:p>
            <w:r/>
            <w:r>
              <w:rPr>
                <w:b/>
              </w:rPr>
              <w:t>Notes</w:t>
            </w:r>
          </w:p>
        </w:tc>
      </w:tr>
      <w:tr>
        <w:tc>
          <w:tcPr>
            <w:tcW w:type="dxa" w:w="3120"/>
          </w:tcPr>
          <w:p>
            <w:r>
              <w:t>Government ID Verification</w:t>
            </w:r>
          </w:p>
        </w:tc>
        <w:tc>
          <w:tcPr>
            <w:tcW w:type="dxa" w:w="3120"/>
          </w:tcPr>
          <w:p>
            <w:r>
              <w:t>$0.75</w:t>
            </w:r>
          </w:p>
        </w:tc>
        <w:tc>
          <w:tcPr>
            <w:tcW w:type="dxa" w:w="3120"/>
          </w:tcPr>
          <w:p>
            <w:r>
              <w:t>Per check</w:t>
            </w:r>
          </w:p>
        </w:tc>
      </w:tr>
      <w:tr>
        <w:tc>
          <w:tcPr>
            <w:tcW w:type="dxa" w:w="3120"/>
          </w:tcPr>
          <w:p>
            <w:r>
              <w:t>Name / Address / DOB / SSN</w:t>
            </w:r>
          </w:p>
        </w:tc>
        <w:tc>
          <w:tcPr>
            <w:tcW w:type="dxa" w:w="3120"/>
          </w:tcPr>
          <w:p>
            <w:r>
              <w:t>$0.75</w:t>
            </w:r>
          </w:p>
        </w:tc>
        <w:tc>
          <w:tcPr>
            <w:tcW w:type="dxa" w:w="3120"/>
          </w:tcPr>
          <w:p>
            <w:r>
              <w:t>Per check</w:t>
            </w:r>
          </w:p>
        </w:tc>
      </w:tr>
      <w:tr>
        <w:tc>
          <w:tcPr>
            <w:tcW w:type="dxa" w:w="3120"/>
          </w:tcPr>
          <w:p>
            <w:r>
              <w:t>SSN Verification</w:t>
            </w:r>
          </w:p>
        </w:tc>
        <w:tc>
          <w:tcPr>
            <w:tcW w:type="dxa" w:w="3120"/>
          </w:tcPr>
          <w:p>
            <w:r>
              <w:t>$0.35</w:t>
            </w:r>
          </w:p>
        </w:tc>
        <w:tc>
          <w:tcPr>
            <w:tcW w:type="dxa" w:w="3120"/>
          </w:tcPr>
          <w:p>
            <w:r>
              <w:t>U.S. only</w:t>
            </w:r>
          </w:p>
        </w:tc>
      </w:tr>
      <w:tr>
        <w:tc>
          <w:tcPr>
            <w:tcW w:type="dxa" w:w="3120"/>
          </w:tcPr>
          <w:p>
            <w:r>
              <w:t>PEPs / Sanctions Screening</w:t>
            </w:r>
          </w:p>
        </w:tc>
        <w:tc>
          <w:tcPr>
            <w:tcW w:type="dxa" w:w="3120"/>
          </w:tcPr>
          <w:p>
            <w:r>
              <w:t>$0.35</w:t>
            </w:r>
          </w:p>
        </w:tc>
        <w:tc>
          <w:tcPr>
            <w:tcW w:type="dxa" w:w="3120"/>
          </w:tcPr>
          <w:p>
            <w:r>
              <w:t>Global watchlists</w:t>
            </w:r>
          </w:p>
        </w:tc>
      </w:tr>
      <w:tr>
        <w:tc>
          <w:tcPr>
            <w:tcW w:type="dxa" w:w="3120"/>
          </w:tcPr>
          <w:p>
            <w:r>
              <w:t>eSignature (per doc)</w:t>
            </w:r>
          </w:p>
        </w:tc>
        <w:tc>
          <w:tcPr>
            <w:tcW w:type="dxa" w:w="3120"/>
          </w:tcPr>
          <w:p>
            <w:r>
              <w:t>$0.50</w:t>
            </w:r>
          </w:p>
        </w:tc>
        <w:tc>
          <w:tcPr>
            <w:tcW w:type="dxa" w:w="3120"/>
          </w:tcPr>
          <w:p>
            <w:r>
              <w:t>SimpliciSign</w:t>
            </w:r>
          </w:p>
        </w:tc>
      </w:tr>
      <w:tr>
        <w:tc>
          <w:tcPr>
            <w:tcW w:type="dxa" w:w="3120"/>
          </w:tcPr>
          <w:p>
            <w:r>
              <w:t>Subtotal</w:t>
            </w:r>
          </w:p>
        </w:tc>
        <w:tc>
          <w:tcPr>
            <w:tcW w:type="dxa" w:w="3120"/>
          </w:tcPr>
          <w:p>
            <w:r>
              <w:t>$2.70</w:t>
            </w:r>
          </w:p>
        </w:tc>
        <w:tc>
          <w:tcPr>
            <w:tcW w:type="dxa" w:w="3120"/>
          </w:tcPr>
          <w:p>
            <w:r/>
          </w:p>
        </w:tc>
      </w:tr>
      <w:tr>
        <w:tc>
          <w:tcPr>
            <w:tcW w:type="dxa" w:w="3120"/>
          </w:tcPr>
          <w:p>
            <w:r>
              <w:t>Add-on: Accreditation (506(b))</w:t>
            </w:r>
          </w:p>
        </w:tc>
        <w:tc>
          <w:tcPr>
            <w:tcW w:type="dxa" w:w="3120"/>
          </w:tcPr>
          <w:p>
            <w:r>
              <w:t>$4.00</w:t>
            </w:r>
          </w:p>
        </w:tc>
        <w:tc>
          <w:tcPr>
            <w:tcW w:type="dxa" w:w="3120"/>
          </w:tcPr>
          <w:p>
            <w:r>
              <w:t>Optional</w:t>
            </w:r>
          </w:p>
        </w:tc>
      </w:tr>
      <w:tr>
        <w:tc>
          <w:tcPr>
            <w:tcW w:type="dxa" w:w="3120"/>
          </w:tcPr>
          <w:p>
            <w:r>
              <w:t>Add-on: Accreditation (506(c))</w:t>
            </w:r>
          </w:p>
        </w:tc>
        <w:tc>
          <w:tcPr>
            <w:tcW w:type="dxa" w:w="3120"/>
          </w:tcPr>
          <w:p>
            <w:r>
              <w:t>$8.00</w:t>
            </w:r>
          </w:p>
        </w:tc>
        <w:tc>
          <w:tcPr>
            <w:tcW w:type="dxa" w:w="3120"/>
          </w:tcPr>
          <w:p>
            <w:r>
              <w:t>Optional</w:t>
            </w:r>
          </w:p>
        </w:tc>
      </w:tr>
    </w:tbl>
    <w:p>
      <w:pPr>
        <w:keepNext/>
        <w:spacing w:before="120" w:after="40"/>
      </w:pPr>
      <w:r>
        <w:rPr>
          <w:b/>
        </w:rPr>
        <w:t>5.4.2  Institutional Investor.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Onboarding Component</w:t>
            </w:r>
          </w:p>
        </w:tc>
        <w:tc>
          <w:tcPr>
            <w:tcW w:type="dxa" w:w="3120"/>
          </w:tcPr>
          <w:p>
            <w:r/>
            <w:r>
              <w:rPr>
                <w:b/>
              </w:rPr>
              <w:t>Unit Price (USD)</w:t>
            </w:r>
          </w:p>
        </w:tc>
        <w:tc>
          <w:tcPr>
            <w:tcW w:type="dxa" w:w="3120"/>
          </w:tcPr>
          <w:p>
            <w:r/>
            <w:r>
              <w:rPr>
                <w:b/>
              </w:rPr>
              <w:t>Notes</w:t>
            </w:r>
          </w:p>
        </w:tc>
      </w:tr>
      <w:tr>
        <w:tc>
          <w:tcPr>
            <w:tcW w:type="dxa" w:w="3120"/>
          </w:tcPr>
          <w:p>
            <w:r>
              <w:t>Government ID Verification</w:t>
            </w:r>
          </w:p>
        </w:tc>
        <w:tc>
          <w:tcPr>
            <w:tcW w:type="dxa" w:w="3120"/>
          </w:tcPr>
          <w:p>
            <w:r>
              <w:t>$0.75</w:t>
            </w:r>
          </w:p>
        </w:tc>
        <w:tc>
          <w:tcPr>
            <w:tcW w:type="dxa" w:w="3120"/>
          </w:tcPr>
          <w:p>
            <w:r>
              <w:t>Per check</w:t>
            </w:r>
          </w:p>
        </w:tc>
      </w:tr>
      <w:tr>
        <w:tc>
          <w:tcPr>
            <w:tcW w:type="dxa" w:w="3120"/>
          </w:tcPr>
          <w:p>
            <w:r>
              <w:t>Name / Address / DOB / SSN</w:t>
            </w:r>
          </w:p>
        </w:tc>
        <w:tc>
          <w:tcPr>
            <w:tcW w:type="dxa" w:w="3120"/>
          </w:tcPr>
          <w:p>
            <w:r>
              <w:t>$0.75</w:t>
            </w:r>
          </w:p>
        </w:tc>
        <w:tc>
          <w:tcPr>
            <w:tcW w:type="dxa" w:w="3120"/>
          </w:tcPr>
          <w:p>
            <w:r>
              <w:t>Per check</w:t>
            </w:r>
          </w:p>
        </w:tc>
      </w:tr>
      <w:tr>
        <w:tc>
          <w:tcPr>
            <w:tcW w:type="dxa" w:w="3120"/>
          </w:tcPr>
          <w:p>
            <w:r>
              <w:t>SSN Verification</w:t>
            </w:r>
          </w:p>
        </w:tc>
        <w:tc>
          <w:tcPr>
            <w:tcW w:type="dxa" w:w="3120"/>
          </w:tcPr>
          <w:p>
            <w:r>
              <w:t>$0.35</w:t>
            </w:r>
          </w:p>
        </w:tc>
        <w:tc>
          <w:tcPr>
            <w:tcW w:type="dxa" w:w="3120"/>
          </w:tcPr>
          <w:p>
            <w:r>
              <w:t>U.S. only</w:t>
            </w:r>
          </w:p>
        </w:tc>
      </w:tr>
      <w:tr>
        <w:tc>
          <w:tcPr>
            <w:tcW w:type="dxa" w:w="3120"/>
          </w:tcPr>
          <w:p>
            <w:r>
              <w:t>PEPs / Sanctions Screening</w:t>
            </w:r>
          </w:p>
        </w:tc>
        <w:tc>
          <w:tcPr>
            <w:tcW w:type="dxa" w:w="3120"/>
          </w:tcPr>
          <w:p>
            <w:r>
              <w:t>$0.35</w:t>
            </w:r>
          </w:p>
        </w:tc>
        <w:tc>
          <w:tcPr>
            <w:tcW w:type="dxa" w:w="3120"/>
          </w:tcPr>
          <w:p>
            <w:r>
              <w:t>Global watchlists</w:t>
            </w:r>
          </w:p>
        </w:tc>
      </w:tr>
      <w:tr>
        <w:tc>
          <w:tcPr>
            <w:tcW w:type="dxa" w:w="3120"/>
          </w:tcPr>
          <w:p>
            <w:r>
              <w:t>eSignature (per doc)</w:t>
            </w:r>
          </w:p>
        </w:tc>
        <w:tc>
          <w:tcPr>
            <w:tcW w:type="dxa" w:w="3120"/>
          </w:tcPr>
          <w:p>
            <w:r>
              <w:t>$0.50</w:t>
            </w:r>
          </w:p>
        </w:tc>
        <w:tc>
          <w:tcPr>
            <w:tcW w:type="dxa" w:w="3120"/>
          </w:tcPr>
          <w:p>
            <w:r>
              <w:t>SimpliciSign</w:t>
            </w:r>
          </w:p>
        </w:tc>
      </w:tr>
      <w:tr>
        <w:tc>
          <w:tcPr>
            <w:tcW w:type="dxa" w:w="3120"/>
          </w:tcPr>
          <w:p>
            <w:r>
              <w:t>Subtotal</w:t>
            </w:r>
          </w:p>
        </w:tc>
        <w:tc>
          <w:tcPr>
            <w:tcW w:type="dxa" w:w="3120"/>
          </w:tcPr>
          <w:p>
            <w:r>
              <w:t>$2.70</w:t>
            </w:r>
          </w:p>
        </w:tc>
        <w:tc>
          <w:tcPr>
            <w:tcW w:type="dxa" w:w="3120"/>
          </w:tcPr>
          <w:p>
            <w:r/>
          </w:p>
        </w:tc>
      </w:tr>
      <w:tr>
        <w:tc>
          <w:tcPr>
            <w:tcW w:type="dxa" w:w="3120"/>
          </w:tcPr>
          <w:p>
            <w:r>
              <w:t>Add-on: KYB — Enhanced</w:t>
            </w:r>
          </w:p>
        </w:tc>
        <w:tc>
          <w:tcPr>
            <w:tcW w:type="dxa" w:w="3120"/>
          </w:tcPr>
          <w:p>
            <w:r>
              <w:t>$5.00</w:t>
            </w:r>
          </w:p>
        </w:tc>
        <w:tc>
          <w:tcPr>
            <w:tcW w:type="dxa" w:w="3120"/>
          </w:tcPr>
          <w:p>
            <w:r>
              <w:t>Entities</w:t>
            </w:r>
          </w:p>
        </w:tc>
      </w:tr>
      <w:tr>
        <w:tc>
          <w:tcPr>
            <w:tcW w:type="dxa" w:w="3120"/>
          </w:tcPr>
          <w:p>
            <w:r>
              <w:t>Add-on: KYB — Comprehensive</w:t>
            </w:r>
          </w:p>
        </w:tc>
        <w:tc>
          <w:tcPr>
            <w:tcW w:type="dxa" w:w="3120"/>
          </w:tcPr>
          <w:p>
            <w:r>
              <w:t>$12.00</w:t>
            </w:r>
          </w:p>
        </w:tc>
        <w:tc>
          <w:tcPr>
            <w:tcW w:type="dxa" w:w="3120"/>
          </w:tcPr>
          <w:p>
            <w:r>
              <w:t>Higher-risk entities</w:t>
            </w:r>
          </w:p>
        </w:tc>
      </w:tr>
    </w:tbl>
    <w:p>
      <w:pPr>
        <w:keepNext/>
        <w:spacing w:before="120" w:after="40"/>
      </w:pPr>
      <w:r>
        <w:rPr>
          <w:b/>
        </w:rPr>
        <w:t>5.5  Invoicing; Payment of Platform Fees.</w:t>
      </w:r>
    </w:p>
    <w:p>
      <w:pPr>
        <w:spacing w:after="120"/>
        <w:jc w:val="both"/>
      </w:pPr>
      <w:r>
        <w:rPr>
          <w:b w:val="0"/>
          <w:i w:val="0"/>
        </w:rPr>
        <w:t>Lux Industries shall invoice SSB monthly in arrears for Simplici.io subscription fees and per-customer onboarding usage fees.  Unless otherwise agreed in writing, invoices are due net thirty (30) days from invoice date.  Past-due amounts may accrue interest at the lesser of 1.0% per month or the maximum rate permitted by law.  The 50/50 Net Partnership Revenue split under §5.1 is settled separately under §5.1.3 and is not invoiced.</w:t>
      </w:r>
    </w:p>
    <w:p>
      <w:pPr>
        <w:keepNext/>
        <w:spacing w:before="200" w:after="80"/>
        <w:jc w:val="left"/>
      </w:pPr>
      <w:r>
        <w:rPr>
          <w:b/>
          <w:sz w:val="24"/>
        </w:rPr>
        <w:t>ARTICLE 6 — RECORDKEEPING</w:t>
      </w:r>
    </w:p>
    <w:p>
      <w:pPr>
        <w:keepNext/>
        <w:spacing w:before="120" w:after="40"/>
      </w:pPr>
      <w:r>
        <w:rPr>
          <w:b/>
        </w:rPr>
        <w:t>6.1  WRA Readiness.</w:t>
      </w:r>
    </w:p>
    <w:p>
      <w:pPr>
        <w:spacing w:after="120"/>
        <w:jc w:val="both"/>
      </w:pPr>
      <w:r>
        <w:rPr>
          <w:b w:val="0"/>
          <w:i w:val="0"/>
        </w:rPr>
        <w:t>Simplici.io is designed to serve as a system-of-record for CIP/KYC artifacts and may support WRA arrangements to the extent permitted under applicable law and by the Parties’ supervisory procedures.</w:t>
      </w:r>
    </w:p>
    <w:p>
      <w:pPr>
        <w:keepNext/>
        <w:spacing w:before="120" w:after="40"/>
      </w:pPr>
      <w:r>
        <w:rPr>
          <w:b/>
        </w:rPr>
        <w:t>6.2  Access to KYC Records.</w:t>
      </w:r>
    </w:p>
    <w:p>
      <w:pPr>
        <w:spacing w:after="120"/>
        <w:jc w:val="both"/>
      </w:pPr>
      <w:r>
        <w:rPr>
          <w:b w:val="0"/>
          <w:i w:val="0"/>
        </w:rPr>
        <w:t>SSB shall have direct, independent access to all onboarding records, verification outputs, and CIP artifacts in respect of its customers through Simplici.io.  SSB retains supervisory authority and examination responsibility with respect to all such records.</w:t>
      </w:r>
    </w:p>
    <w:p>
      <w:pPr>
        <w:keepNext/>
        <w:spacing w:before="200" w:after="80"/>
        <w:jc w:val="left"/>
      </w:pPr>
      <w:r>
        <w:rPr>
          <w:b/>
          <w:sz w:val="24"/>
        </w:rPr>
        <w:t>ARTICLE 7 — IMPLEMENTATION; TIMELINES</w:t>
      </w:r>
    </w:p>
    <w:p>
      <w:pPr>
        <w:keepNext/>
        <w:spacing w:before="120" w:after="40"/>
      </w:pPr>
      <w:r>
        <w:rPr>
          <w:b/>
        </w:rPr>
        <w:t>7.1  Implementation Cooperation.</w:t>
      </w:r>
    </w:p>
    <w:p>
      <w:pPr>
        <w:spacing w:after="120"/>
        <w:jc w:val="both"/>
      </w:pPr>
      <w:r>
        <w:rPr>
          <w:b w:val="0"/>
          <w:i w:val="0"/>
        </w:rPr>
        <w:t>Each Party shall provide reasonable cooperation, personnel, and information necessary to implement Phase 1 integrations and workflows.  The technical integration approach is described in Exhibit A.</w:t>
      </w:r>
    </w:p>
    <w:p>
      <w:pPr>
        <w:keepNext/>
        <w:spacing w:before="120" w:after="40"/>
      </w:pPr>
      <w:r>
        <w:rPr>
          <w:b/>
        </w:rPr>
        <w:t>7.2  Target Timelines (Planning Targets).</w:t>
      </w:r>
    </w:p>
    <w:p>
      <w:pPr>
        <w:spacing w:after="120"/>
        <w:jc w:val="both"/>
      </w:pPr>
      <w:r>
        <w:rPr>
          <w:b w:val="0"/>
          <w:i w:val="0"/>
        </w:rPr>
        <w:t>The Parties’ current planning targets are: Phase 1 — two (2) to four (4) months from the Effective Date; Phase 2 — three (3) to six (6) months after Phase 1 launch, subject to execution of a separate written amendment or definitive agreement as required by §3.3.</w:t>
      </w:r>
    </w:p>
    <w:p>
      <w:pPr>
        <w:keepNext/>
        <w:spacing w:before="200" w:after="80"/>
        <w:jc w:val="left"/>
      </w:pPr>
      <w:r>
        <w:rPr>
          <w:b/>
          <w:sz w:val="24"/>
        </w:rPr>
        <w:t>ARTICLE 8 — DIGITAL ASSET COORDINATION (OPTIONAL)</w:t>
      </w:r>
    </w:p>
    <w:p>
      <w:pPr>
        <w:keepNext/>
        <w:spacing w:before="120" w:after="40"/>
      </w:pPr>
      <w:r>
        <w:rPr>
          <w:b/>
        </w:rPr>
        <w:t>8.1  Optional Services; Separate Agreement Required.</w:t>
      </w:r>
    </w:p>
    <w:p>
      <w:pPr>
        <w:spacing w:after="120"/>
        <w:jc w:val="both"/>
      </w:pPr>
      <w:r>
        <w:rPr>
          <w:b w:val="0"/>
          <w:i w:val="0"/>
        </w:rPr>
        <w:t>The Parties may in the future evaluate optional workflows relating to cryptocurrency, stablecoin, or tokenized-asset access, custody, wallet services, on/off-ramp functionality, or related services.  No such services are included in the Phase 1 scope, and no such services shall be offered, integrated, launched, or made available unless and until the applicable parties enter into a separate definitive written agreement and complete all required regulatory, compliance, operational, vendor, customer documentation, and platform review.</w:t>
      </w:r>
    </w:p>
    <w:p>
      <w:pPr>
        <w:keepNext/>
        <w:spacing w:before="200" w:after="80"/>
        <w:jc w:val="left"/>
      </w:pPr>
      <w:r>
        <w:rPr>
          <w:b/>
          <w:sz w:val="24"/>
        </w:rPr>
        <w:t>ARTICLE 9 — REGULATORY COMPLIANCE</w:t>
      </w:r>
    </w:p>
    <w:p>
      <w:pPr>
        <w:keepNext/>
        <w:spacing w:before="120" w:after="40"/>
      </w:pPr>
      <w:r>
        <w:rPr>
          <w:b/>
        </w:rPr>
        <w:t>9.1  Independent Regulatory Responsibility.</w:t>
      </w:r>
    </w:p>
    <w:p>
      <w:pPr>
        <w:spacing w:after="120"/>
        <w:jc w:val="both"/>
      </w:pPr>
      <w:r>
        <w:rPr>
          <w:b w:val="0"/>
          <w:i w:val="0"/>
        </w:rPr>
        <w:t>Each Party retains sole responsibility for its respective regulatory obligations.  Nothing in this Agreement is intended to require SSB to perform technology-platform functions on behalf of Lux Industries, or to require Lux Industries to perform Local Partner Licensed Activity on behalf of SSB.</w:t>
      </w:r>
    </w:p>
    <w:p>
      <w:pPr>
        <w:keepNext/>
        <w:spacing w:before="200" w:after="80"/>
        <w:jc w:val="left"/>
      </w:pPr>
      <w:r>
        <w:rPr>
          <w:b/>
          <w:sz w:val="24"/>
        </w:rPr>
        <w:t>ARTICLE 10 — DATA SECURITY; PRIVACY</w:t>
      </w:r>
    </w:p>
    <w:p>
      <w:pPr>
        <w:keepNext/>
        <w:spacing w:before="120" w:after="40"/>
      </w:pPr>
      <w:r>
        <w:rPr>
          <w:b/>
        </w:rPr>
        <w:t>10.1  Data Roles.</w:t>
      </w:r>
    </w:p>
    <w:p>
      <w:pPr>
        <w:spacing w:after="120"/>
        <w:jc w:val="both"/>
      </w:pPr>
      <w:r>
        <w:rPr>
          <w:b w:val="0"/>
          <w:i w:val="0"/>
        </w:rPr>
        <w:t>As between the Parties, SSB owns or controls its customer data.  Lux Industries and the applicable platform providers shall act as service providers / data processors, processing such data solely to provide the services and as documented by SSB instructions.</w:t>
      </w:r>
    </w:p>
    <w:p>
      <w:pPr>
        <w:keepNext/>
        <w:spacing w:before="120" w:after="40"/>
      </w:pPr>
      <w:r>
        <w:rPr>
          <w:b/>
        </w:rPr>
        <w:t>10.2  Security Measures.</w:t>
      </w:r>
    </w:p>
    <w:p>
      <w:pPr>
        <w:spacing w:after="120"/>
        <w:jc w:val="both"/>
      </w:pPr>
      <w:r>
        <w:rPr>
          <w:b w:val="0"/>
          <w:i w:val="0"/>
        </w:rPr>
        <w:t>Lux Industries shall maintain commercially reasonable administrative, technical, and physical safeguards designed to protect the confidentiality, integrity, and availability of customer data processed in connection with this Agreement, including encryption in transit and at rest, role-based access controls, and audit logging.</w:t>
      </w:r>
    </w:p>
    <w:p>
      <w:pPr>
        <w:keepNext/>
        <w:spacing w:before="120" w:after="40"/>
      </w:pPr>
      <w:r>
        <w:rPr>
          <w:b/>
        </w:rPr>
        <w:t>10.3  Incident Notification.</w:t>
      </w:r>
    </w:p>
    <w:p>
      <w:pPr>
        <w:spacing w:after="120"/>
        <w:jc w:val="both"/>
      </w:pPr>
      <w:r>
        <w:rPr>
          <w:b w:val="0"/>
          <w:i w:val="0"/>
        </w:rPr>
        <w:t>Lux Industries shall notify SSB within seventy-two (72) hours after becoming aware of any confirmed or reasonably suspected cybersecurity incident, data breach, or unauthorized access involving SSB customer data to the extent such incident relates to systems, data, or services for which Lux Industries is responsible under this Agreement.</w:t>
      </w:r>
    </w:p>
    <w:p>
      <w:pPr>
        <w:keepNext/>
        <w:spacing w:before="120" w:after="40"/>
      </w:pPr>
      <w:r>
        <w:rPr>
          <w:b/>
        </w:rPr>
        <w:t>10.4  Privacy Commitments.</w:t>
      </w:r>
    </w:p>
    <w:p>
      <w:pPr>
        <w:spacing w:after="120"/>
        <w:jc w:val="both"/>
      </w:pPr>
      <w:r>
        <w:rPr>
          <w:b w:val="0"/>
          <w:i w:val="0"/>
        </w:rPr>
        <w:t>Lux Industries shall not sell customer personal information and shall not retain, use, or disclose customer personal information for any purpose other than providing the services, except as may be required by law.</w:t>
      </w:r>
    </w:p>
    <w:p>
      <w:pPr>
        <w:keepNext/>
        <w:spacing w:before="200" w:after="80"/>
        <w:jc w:val="left"/>
      </w:pPr>
      <w:r>
        <w:rPr>
          <w:b/>
          <w:sz w:val="24"/>
        </w:rPr>
        <w:t>ARTICLE 11 — TERM; RENEWAL; TERMINATION</w:t>
      </w:r>
    </w:p>
    <w:p>
      <w:pPr>
        <w:keepNext/>
        <w:spacing w:before="120" w:after="40"/>
      </w:pPr>
      <w:r>
        <w:rPr>
          <w:b/>
        </w:rPr>
        <w:t>11.1  Term.</w:t>
      </w:r>
    </w:p>
    <w:p>
      <w:pPr>
        <w:spacing w:after="120"/>
        <w:jc w:val="both"/>
      </w:pPr>
      <w:r>
        <w:rPr>
          <w:b w:val="0"/>
          <w:i w:val="0"/>
        </w:rPr>
        <w:t>The initial term of this Agreement shall be twenty-four (24) months commencing on the Effective Date.  Thereafter, this Agreement shall automatically renew for successive one (1) year terms unless either Party provides notice of non-renewal at least sixty (60) days prior to the end of the then-current term.</w:t>
      </w:r>
    </w:p>
    <w:p>
      <w:pPr>
        <w:keepNext/>
        <w:spacing w:before="120" w:after="40"/>
      </w:pPr>
      <w:r>
        <w:rPr>
          <w:b/>
        </w:rPr>
        <w:t>11.2  Termination for Convenience.</w:t>
      </w:r>
    </w:p>
    <w:p>
      <w:pPr>
        <w:spacing w:after="120"/>
        <w:jc w:val="both"/>
      </w:pPr>
      <w:r>
        <w:rPr>
          <w:b w:val="0"/>
          <w:i w:val="0"/>
        </w:rPr>
        <w:t>Either Party may terminate this Agreement for convenience upon ninety (90) days’ prior written notice to the other Party.</w:t>
      </w:r>
    </w:p>
    <w:p>
      <w:pPr>
        <w:keepNext/>
        <w:spacing w:before="120" w:after="40"/>
      </w:pPr>
      <w:r>
        <w:rPr>
          <w:b/>
        </w:rPr>
        <w:t>11.3  Effect of Termination; Survival.</w:t>
      </w:r>
    </w:p>
    <w:p>
      <w:pPr>
        <w:spacing w:after="120"/>
        <w:jc w:val="both"/>
      </w:pPr>
      <w:r>
        <w:rPr>
          <w:b w:val="0"/>
          <w:i w:val="0"/>
        </w:rPr>
        <w:t>Upon termination, the Parties shall settle any accrued but unpaid Net Partnership Revenue under §5.1 and SSB shall pay all accrued and unpaid platform fees through the effective date of termination.  The provisions that by their nature survive, including confidentiality, data protection, accrued revenue-share obligations, and indemnification, shall survive.</w:t>
      </w:r>
    </w:p>
    <w:p>
      <w:pPr>
        <w:keepNext/>
        <w:spacing w:before="200" w:after="80"/>
        <w:jc w:val="left"/>
      </w:pPr>
      <w:r>
        <w:rPr>
          <w:b/>
          <w:sz w:val="24"/>
        </w:rPr>
        <w:t>ARTICLE 12 — CONFIDENTIALITY</w:t>
      </w:r>
    </w:p>
    <w:p>
      <w:pPr>
        <w:keepNext/>
        <w:spacing w:before="120" w:after="40"/>
      </w:pPr>
      <w:r>
        <w:rPr>
          <w:b/>
        </w:rPr>
        <w:t>12.1  Confidential Information.</w:t>
      </w:r>
    </w:p>
    <w:p>
      <w:pPr>
        <w:spacing w:after="120"/>
        <w:jc w:val="both"/>
      </w:pPr>
      <w:r>
        <w:rPr>
          <w:b w:val="0"/>
          <w:i w:val="0"/>
        </w:rPr>
        <w:t>“Confidential Information” means the existence and terms of this Agreement and any non-public information disclosed by one Party (“Disclosing Party”) to the other Party (“Receiving Party”), whether oral, written, electronic, or otherwise, that is designated as confidential or that reasonably should be understood to be confidential.</w:t>
      </w:r>
    </w:p>
    <w:p>
      <w:pPr>
        <w:keepNext/>
        <w:spacing w:before="120" w:after="40"/>
      </w:pPr>
      <w:r>
        <w:rPr>
          <w:b/>
        </w:rPr>
        <w:t>12.2  Obligations.</w:t>
      </w:r>
    </w:p>
    <w:p>
      <w:pPr>
        <w:spacing w:after="120"/>
        <w:jc w:val="both"/>
      </w:pPr>
      <w:r>
        <w:rPr>
          <w:b w:val="0"/>
          <w:i w:val="0"/>
        </w:rPr>
        <w:t>The Receiving Party shall (a) use the Confidential Information solely to perform under this Agreement; (b) restrict disclosure to its employees, contractors, legal counsel, financial advisors, and regulators on a need-to-know basis; and (c) protect Confidential Information using at least reasonable care.</w:t>
      </w:r>
    </w:p>
    <w:p>
      <w:pPr>
        <w:keepNext/>
        <w:spacing w:before="120" w:after="40"/>
      </w:pPr>
      <w:r>
        <w:rPr>
          <w:b/>
        </w:rPr>
        <w:t>12.3  Permitted Disclosures.</w:t>
      </w:r>
    </w:p>
    <w:p>
      <w:pPr>
        <w:spacing w:after="120"/>
        <w:jc w:val="both"/>
      </w:pPr>
      <w:r>
        <w:rPr>
          <w:b w:val="0"/>
          <w:i w:val="0"/>
        </w:rPr>
        <w:t>The confidentiality obligations do not apply to information that is (i) independently developed without use of Confidential Information, (ii) lawfully received from a third party without duty of confidentiality, or (iii) required to be disclosed by law or regulatory process.</w:t>
      </w:r>
    </w:p>
    <w:p>
      <w:pPr>
        <w:keepNext/>
        <w:spacing w:before="120" w:after="40"/>
      </w:pPr>
      <w:r>
        <w:rPr>
          <w:b/>
        </w:rPr>
        <w:t>12.4  Non-Circumvention.</w:t>
      </w:r>
    </w:p>
    <w:p>
      <w:pPr>
        <w:spacing w:after="120"/>
        <w:jc w:val="both"/>
      </w:pPr>
      <w:r>
        <w:rPr>
          <w:b w:val="0"/>
          <w:i w:val="0"/>
        </w:rPr>
        <w:t>Each Party agrees that, where the other Party introduces it to an opportunity (an “Opportunity”) — including existing or potential commercial partners, investors, distributors, or counterparties — the identity of, and information concerning, such Opportunity shall be treated as Confidential Information and shall not be used outside the context of any arrangement with or through the introducing Party without that Party’s prior written approval.</w:t>
      </w:r>
    </w:p>
    <w:p>
      <w:pPr>
        <w:keepNext/>
        <w:spacing w:before="120" w:after="40"/>
      </w:pPr>
      <w:r>
        <w:rPr>
          <w:b/>
        </w:rPr>
        <w:t>12.5  Term.</w:t>
      </w:r>
    </w:p>
    <w:p>
      <w:pPr>
        <w:spacing w:after="120"/>
        <w:jc w:val="both"/>
      </w:pPr>
      <w:r>
        <w:rPr>
          <w:b w:val="0"/>
          <w:i w:val="0"/>
        </w:rPr>
        <w:t>These confidentiality and non-circumvention obligations are binding and shall survive for two (2) years following termination or expiration of this Agreement.</w:t>
      </w:r>
    </w:p>
    <w:p>
      <w:pPr>
        <w:keepNext/>
        <w:spacing w:before="200" w:after="80"/>
        <w:jc w:val="left"/>
      </w:pPr>
      <w:r>
        <w:rPr>
          <w:b/>
          <w:sz w:val="24"/>
        </w:rPr>
        <w:t>ARTICLE 13 — INDEMNIFICATION; LIMITATION OF LIABILITY</w:t>
      </w:r>
    </w:p>
    <w:p>
      <w:pPr>
        <w:keepNext/>
        <w:spacing w:before="120" w:after="40"/>
      </w:pPr>
      <w:r>
        <w:rPr>
          <w:b/>
        </w:rPr>
        <w:t>13.1  Indemnification by Lux Industries.</w:t>
      </w:r>
    </w:p>
    <w:p>
      <w:pPr>
        <w:spacing w:after="120"/>
        <w:jc w:val="both"/>
      </w:pPr>
      <w:r>
        <w:rPr>
          <w:b w:val="0"/>
          <w:i w:val="0"/>
        </w:rPr>
        <w:t>Lux Industries shall indemnify, defend, and hold harmless SSB and its affiliates and their respective officers, directors, employees, and agents from and against any third-party claims, damages, liabilities, penalties, fines, and reasonable attorneys’ fees arising out of or relating to (a) Lux Industries’ material breach of this Agreement; (b) Lux Industries’ gross negligence or willful misconduct; (c) a security incident to the extent caused by Lux Industries’ failure to maintain the security measures expressly required of Lux Industries under §10.2; or (d) allegations that any technology, materials, or intellectual property owned or controlled by Lux Industries and provided under this Agreement infringes or misappropriates a third party’s intellectual property rights.</w:t>
      </w:r>
    </w:p>
    <w:p>
      <w:pPr>
        <w:keepNext/>
        <w:spacing w:before="120" w:after="40"/>
      </w:pPr>
      <w:r>
        <w:rPr>
          <w:b/>
        </w:rPr>
        <w:t>13.2  Indemnification by SSB.</w:t>
      </w:r>
    </w:p>
    <w:p>
      <w:pPr>
        <w:spacing w:after="120"/>
        <w:jc w:val="both"/>
      </w:pPr>
      <w:r>
        <w:rPr>
          <w:b w:val="0"/>
          <w:i w:val="0"/>
        </w:rPr>
        <w:t>SSB shall indemnify, defend, and hold harmless Lux Industries and its affiliates and their respective officers, directors, employees, and agents from and against any third-party claims, damages, liabilities, penalties, fines, and reasonable attorneys’ fees arising out of or relating to (a) SSB’s material breach of this Agreement; (b) SSB’s gross negligence or willful misconduct; (c) SSB’s conduct of the Local Partner Licensed Activity; or (d) SSB’s customer-facing communications, disclosures, and supervisory activities.</w:t>
      </w:r>
    </w:p>
    <w:p>
      <w:pPr>
        <w:keepNext/>
        <w:spacing w:before="120" w:after="40"/>
      </w:pPr>
      <w:r>
        <w:rPr>
          <w:b/>
        </w:rPr>
        <w:t>13.3  Limitation of Liability.</w:t>
      </w:r>
    </w:p>
    <w:p>
      <w:pPr>
        <w:spacing w:after="120"/>
        <w:jc w:val="both"/>
      </w:pPr>
      <w:r>
        <w:rPr>
          <w:b w:val="0"/>
          <w:i w:val="0"/>
        </w:rPr>
        <w:t>EXCEPT FOR (i) BREACH OF CONFIDENTIALITY, (ii) A PARTY’S GROSS NEGLIGENCE OR WILLFUL MISCONDUCT, OR (iii) VIOLATION OF APPLICABLE DATA PROTECTION LAWS, IN NO EVENT SHALL EITHER PARTY BE LIABLE FOR ANY INDIRECT, INCIDENTAL, CONSEQUENTIAL, SPECIAL, EXEMPLARY, OR PUNITIVE DAMAGES.  EACH PARTY’S AGGREGATE LIABILITY ARISING OUT OF OR RELATING TO THIS AGREEMENT SHALL NOT EXCEED THE GREATER OF (x) THE TOTAL FEES PAID BY THE LOCAL PARTNER TO LUX INDUSTRIES UNDER THIS AGREEMENT IN THE TWELVE (12) MONTHS PRECEDING THE EVENT GIVING RISE TO LIABILITY, AND (y) THE NET PARTNERSHIP REVENUE SETTLED UNDER §5.1.3 IN THE TWELVE (12) MONTHS PRECEDING SUCH EVENT, EXCEPT FOR THE FOREGOING CARVE-OUTS.</w:t>
      </w:r>
    </w:p>
    <w:p>
      <w:pPr>
        <w:keepNext/>
        <w:spacing w:before="200" w:after="80"/>
        <w:jc w:val="left"/>
      </w:pPr>
      <w:r>
        <w:rPr>
          <w:b/>
          <w:sz w:val="24"/>
        </w:rPr>
        <w:t>ARTICLE 14 — GOVERNING LAW; DISPUTE RESOLUTION</w:t>
      </w:r>
    </w:p>
    <w:p>
      <w:pPr>
        <w:keepNext/>
        <w:spacing w:before="120" w:after="40"/>
      </w:pPr>
      <w:r>
        <w:rPr>
          <w:b/>
        </w:rPr>
        <w:t>14.1  Governing Law.</w:t>
      </w:r>
    </w:p>
    <w:p>
      <w:pPr>
        <w:spacing w:after="120"/>
        <w:jc w:val="both"/>
      </w:pPr>
      <w:r>
        <w:rPr>
          <w:b w:val="0"/>
          <w:i w:val="0"/>
        </w:rPr>
        <w:t>This Agreement and any dispute, claim, or controversy arising out of or relating to this Agreement shall be governed by and construed in accordance with the laws of the State of Delaware, without regard to conflict of laws principles.</w:t>
      </w:r>
    </w:p>
    <w:p>
      <w:pPr>
        <w:keepNext/>
        <w:spacing w:before="120" w:after="40"/>
      </w:pPr>
      <w:r>
        <w:rPr>
          <w:b/>
        </w:rPr>
        <w:t>14.2  Good Faith Negotiation.</w:t>
      </w:r>
    </w:p>
    <w:p>
      <w:pPr>
        <w:spacing w:after="120"/>
        <w:jc w:val="both"/>
      </w:pPr>
      <w:r>
        <w:rPr>
          <w:b w:val="0"/>
          <w:i w:val="0"/>
        </w:rPr>
        <w:t>Prior to initiating arbitration or litigation, the Parties shall use good faith efforts to resolve any dispute through senior executive negotiation.  Either Party may initiate this process by written notice describing the dispute in reasonable detail.  The Parties shall meet within fifteen (15) business days of such notice.  If the dispute is not resolved within thirty (30) days of the initial notice, either Party may proceed as set forth below.</w:t>
      </w:r>
    </w:p>
    <w:p>
      <w:pPr>
        <w:keepNext/>
        <w:spacing w:before="120" w:after="40"/>
      </w:pPr>
      <w:r>
        <w:rPr>
          <w:b/>
        </w:rPr>
        <w:t>14.3  Binding Arbitration.</w:t>
      </w:r>
    </w:p>
    <w:p>
      <w:pPr>
        <w:spacing w:after="120"/>
        <w:jc w:val="both"/>
      </w:pPr>
      <w:r>
        <w:rPr>
          <w:b w:val="0"/>
          <w:i w:val="0"/>
        </w:rPr>
        <w:t>Except as provided in §14.4, any dispute not resolved under §14.2 shall be finally resolved by binding arbitration administered by the American Arbitration Association (AAA) under its Commercial Arbitration Rules.  The arbitration shall be conducted in Wilmington, Delaware before one (1) neutral arbitrator experienced in financial services or fintech matters.</w:t>
      </w:r>
    </w:p>
    <w:p>
      <w:pPr>
        <w:keepNext/>
        <w:spacing w:before="120" w:after="40"/>
      </w:pPr>
      <w:r>
        <w:rPr>
          <w:b/>
        </w:rPr>
        <w:t>14.4  Equitable Relief.</w:t>
      </w:r>
    </w:p>
    <w:p>
      <w:pPr>
        <w:spacing w:after="120"/>
        <w:jc w:val="both"/>
      </w:pPr>
      <w:r>
        <w:rPr>
          <w:b w:val="0"/>
          <w:i w:val="0"/>
        </w:rPr>
        <w:t>Notwithstanding §14.3, either Party may seek temporary or preliminary injunctive relief or specific performance in any court of competent jurisdiction to prevent or remedy (a) unauthorized use or disclosure of Confidential Information, (b) data security incidents, or (c) infringement or misappropriation of intellectual property rights.</w:t>
      </w:r>
    </w:p>
    <w:p>
      <w:pPr>
        <w:keepNext/>
        <w:spacing w:before="120" w:after="40"/>
      </w:pPr>
      <w:r>
        <w:rPr>
          <w:b/>
        </w:rPr>
        <w:t>14.5  Confidentiality of Proceedings; Jury Trial Waiver.</w:t>
      </w:r>
    </w:p>
    <w:p>
      <w:pPr>
        <w:spacing w:after="120"/>
        <w:jc w:val="both"/>
      </w:pPr>
      <w:r>
        <w:rPr>
          <w:b w:val="0"/>
          <w:i w:val="0"/>
        </w:rPr>
        <w:t>Arbitration proceedings shall be confidential except as required by law or regulation.  EACH PARTY WAIVES ANY RIGHT TO A JURY TRIAL to the maximum extent permitted by law.</w:t>
      </w:r>
    </w:p>
    <w:p>
      <w:pPr>
        <w:keepNext/>
        <w:spacing w:before="200" w:after="80"/>
        <w:jc w:val="left"/>
      </w:pPr>
      <w:r>
        <w:rPr>
          <w:b/>
          <w:sz w:val="24"/>
        </w:rPr>
        <w:t>ARTICLE 15 — MISCELLANEOUS</w:t>
      </w:r>
    </w:p>
    <w:p>
      <w:pPr>
        <w:keepNext/>
        <w:spacing w:before="120" w:after="40"/>
      </w:pPr>
      <w:r>
        <w:rPr>
          <w:b/>
        </w:rPr>
        <w:t>15.1  Entire Agreement.</w:t>
      </w:r>
    </w:p>
    <w:p>
      <w:pPr>
        <w:spacing w:after="120"/>
        <w:jc w:val="both"/>
      </w:pPr>
      <w:r>
        <w:rPr>
          <w:b w:val="0"/>
          <w:i w:val="0"/>
        </w:rPr>
        <w:t>This Agreement, including its exhibits and schedules and any Order Forms executed by the Parties, constitutes the entire agreement between the Parties with respect to the subject matter and supersedes all prior and contemporaneous understandings and communications.</w:t>
      </w:r>
    </w:p>
    <w:p>
      <w:pPr>
        <w:keepNext/>
        <w:spacing w:before="120" w:after="40"/>
      </w:pPr>
      <w:r>
        <w:rPr>
          <w:b/>
        </w:rPr>
        <w:t>15.2  Amendments.</w:t>
      </w:r>
    </w:p>
    <w:p>
      <w:pPr>
        <w:spacing w:after="120"/>
        <w:jc w:val="both"/>
      </w:pPr>
      <w:r>
        <w:rPr>
          <w:b w:val="0"/>
          <w:i w:val="0"/>
        </w:rPr>
        <w:t>Any amendment or modification must be in writing and signed by both Parties.</w:t>
      </w:r>
    </w:p>
    <w:p>
      <w:pPr>
        <w:keepNext/>
        <w:spacing w:before="120" w:after="40"/>
      </w:pPr>
      <w:r>
        <w:rPr>
          <w:b/>
        </w:rPr>
        <w:t>15.3  Assignment.</w:t>
      </w:r>
    </w:p>
    <w:p>
      <w:pPr>
        <w:spacing w:after="120"/>
        <w:jc w:val="both"/>
      </w:pPr>
      <w:r>
        <w:rPr>
          <w:b w:val="0"/>
          <w:i w:val="0"/>
        </w:rPr>
        <w:t>Neither Party may assign this Agreement without the prior written consent of the other Party, except to an affiliate or in connection with a merger, acquisition, or sale of substantially all assets, provided the assignee agrees in writing to be bound by this Agreement.</w:t>
      </w:r>
    </w:p>
    <w:p>
      <w:pPr>
        <w:keepNext/>
        <w:spacing w:before="120" w:after="40"/>
      </w:pPr>
      <w:r>
        <w:rPr>
          <w:b/>
        </w:rPr>
        <w:t>15.4  Counterparts; Electronic Signatures.</w:t>
      </w:r>
    </w:p>
    <w:p>
      <w:pPr>
        <w:spacing w:after="120"/>
        <w:jc w:val="both"/>
      </w:pPr>
      <w:r>
        <w:rPr>
          <w:b w:val="0"/>
          <w:i w:val="0"/>
        </w:rPr>
        <w:t>This Agreement may be executed in counterparts, each of which is deemed an original.  Electronic signatures shall be deemed valid and binding.</w:t>
      </w:r>
    </w:p>
    <w:p>
      <w:pPr>
        <w:keepNext/>
        <w:spacing w:before="200" w:after="80"/>
        <w:jc w:val="left"/>
      </w:pPr>
      <w:r>
        <w:rPr>
          <w:b/>
          <w:sz w:val="24"/>
        </w:rPr>
        <w:t>EXHIBIT A — TECHNICAL INTEGRATION OVERVIEW</w:t>
      </w:r>
    </w:p>
    <w:p>
      <w:pPr>
        <w:spacing w:after="120"/>
        <w:jc w:val="both"/>
      </w:pPr>
      <w:r>
        <w:rPr>
          <w:b w:val="0"/>
          <w:i w:val="0"/>
        </w:rPr>
        <w:t>1.  Integration Approach.  The Parties intend an API-based integration between Simplici.io, the Lux Network, and SSB’s systems, with a white-labeled user experience within SSB’s web and mobile properties.</w:t>
      </w:r>
    </w:p>
    <w:p>
      <w:pPr>
        <w:spacing w:after="120"/>
        <w:jc w:val="both"/>
      </w:pPr>
      <w:r>
        <w:rPr>
          <w:b w:val="0"/>
          <w:i w:val="0"/>
        </w:rPr>
        <w:t>2.  Functional Components.  (a) Identity verification and document verification; (b) KYC / CIP / CDD data collection; (c) AML, sanctions, and PEP screening; (d) Document collection, workflow routing, and exception handling; (e) E-signature (SimpliciSign); (f) Audit logging and reporting; (g) Lux Network identity, content-addressed audit, and (where applicable) settlement primitives.</w:t>
      </w:r>
    </w:p>
    <w:p>
      <w:pPr>
        <w:spacing w:after="120"/>
        <w:jc w:val="both"/>
      </w:pPr>
      <w:r>
        <w:rPr>
          <w:b w:val="0"/>
          <w:i w:val="0"/>
        </w:rPr>
        <w:t>3.  Responsibilities.  Lux Industries: maintain Simplici.io and Lux Network availability, provide integration documentation, and support onboarding workflows.  SSB: implement UI and system integration; configure supervisory and compliance controls; manage user access and permissions; conduct all Local Partner Licensed Activity.</w:t>
      </w:r>
    </w:p>
    <w:p>
      <w:pPr>
        <w:spacing w:after="120"/>
        <w:jc w:val="both"/>
      </w:pPr>
      <w:r>
        <w:rPr>
          <w:b w:val="0"/>
          <w:i w:val="0"/>
        </w:rPr>
        <w:t>4.  Security and Logging.  Encryption in transit and at rest; role-based access controls; audit logs for key actions; retention consistent with regulatory requirements and the Local Partner’s policies.</w:t>
      </w:r>
    </w:p>
    <w:p>
      <w:pPr>
        <w:keepNext/>
        <w:spacing w:before="200" w:after="80"/>
        <w:jc w:val="left"/>
      </w:pPr>
      <w:r>
        <w:rPr>
          <w:b/>
          <w:sz w:val="24"/>
        </w:rPr>
        <w:t>SCHEDULE 1 — SSB LICENSE STACK</w:t>
      </w:r>
    </w:p>
    <w:p>
      <w:pPr>
        <w:spacing w:after="120"/>
        <w:jc w:val="both"/>
      </w:pPr>
      <w:r>
        <w:rPr>
          <w:b w:val="0"/>
          <w:i w:val="0"/>
        </w:rPr>
        <w:t>The following licenses and registrations held by SSB and / or its regulated affiliates are made available for coordinated commercial activity under this Agreement.  Specific entity names, CRD / MSB / FRN / registration numbers shall be set forth in a confidential supplemental schedule exchanged between the Parties prior to launch of the corresponding Phase 1 service, and shall be updated by written notice as renewals occur or additional licenses are added.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Jurisdiction</w:t>
            </w:r>
          </w:p>
        </w:tc>
        <w:tc>
          <w:tcPr>
            <w:tcW w:type="dxa" w:w="2340"/>
          </w:tcPr>
          <w:p>
            <w:r/>
            <w:r>
              <w:rPr>
                <w:b/>
              </w:rPr>
              <w:t>Regulator / SRO</w:t>
            </w:r>
          </w:p>
        </w:tc>
        <w:tc>
          <w:tcPr>
            <w:tcW w:type="dxa" w:w="2340"/>
          </w:tcPr>
          <w:p>
            <w:r/>
            <w:r>
              <w:rPr>
                <w:b/>
              </w:rPr>
              <w:t>License / Registration</w:t>
            </w:r>
          </w:p>
        </w:tc>
        <w:tc>
          <w:tcPr>
            <w:tcW w:type="dxa" w:w="2340"/>
          </w:tcPr>
          <w:p>
            <w:r/>
            <w:r>
              <w:rPr>
                <w:b/>
              </w:rPr>
              <w:t>Scope</w:t>
            </w:r>
          </w:p>
        </w:tc>
      </w:tr>
      <w:tr>
        <w:tc>
          <w:tcPr>
            <w:tcW w:type="dxa" w:w="2340"/>
          </w:tcPr>
          <w:p>
            <w:r>
              <w:t>Somalia</w:t>
            </w:r>
          </w:p>
        </w:tc>
        <w:tc>
          <w:tcPr>
            <w:tcW w:type="dxa" w:w="2340"/>
          </w:tcPr>
          <w:p>
            <w:r>
              <w:t>Central Bank of Somalia (CBS)</w:t>
            </w:r>
          </w:p>
        </w:tc>
        <w:tc>
          <w:tcPr>
            <w:tcW w:type="dxa" w:w="2340"/>
          </w:tcPr>
          <w:p>
            <w:r>
              <w:t>Commercial banking licence</w:t>
            </w:r>
          </w:p>
        </w:tc>
        <w:tc>
          <w:tcPr>
            <w:tcW w:type="dxa" w:w="2340"/>
          </w:tcPr>
          <w:p>
            <w:r>
              <w:t>Full retail and corporate banking; Shariah-compliant Islamic banking products; the bank of choice of the Somali Federal Government</w:t>
            </w:r>
          </w:p>
        </w:tc>
      </w:tr>
      <w:tr>
        <w:tc>
          <w:tcPr>
            <w:tcW w:type="dxa" w:w="2340"/>
          </w:tcPr>
          <w:p>
            <w:r>
              <w:t>Somalia</w:t>
            </w:r>
          </w:p>
        </w:tc>
        <w:tc>
          <w:tcPr>
            <w:tcW w:type="dxa" w:w="2340"/>
          </w:tcPr>
          <w:p>
            <w:r>
              <w:t>Financial Reporting Center (FRC)</w:t>
            </w:r>
          </w:p>
        </w:tc>
        <w:tc>
          <w:tcPr>
            <w:tcW w:type="dxa" w:w="2340"/>
          </w:tcPr>
          <w:p>
            <w:r>
              <w:t>Reporting entity</w:t>
            </w:r>
          </w:p>
        </w:tc>
        <w:tc>
          <w:tcPr>
            <w:tcW w:type="dxa" w:w="2340"/>
          </w:tcPr>
          <w:p>
            <w:r>
              <w:t>BSA-equivalent AML / sanctions / SAR reporting</w:t>
            </w:r>
          </w:p>
        </w:tc>
      </w:tr>
      <w:tr>
        <w:tc>
          <w:tcPr>
            <w:tcW w:type="dxa" w:w="2340"/>
          </w:tcPr>
          <w:p>
            <w:r>
              <w:t>International</w:t>
            </w:r>
          </w:p>
        </w:tc>
        <w:tc>
          <w:tcPr>
            <w:tcW w:type="dxa" w:w="2340"/>
          </w:tcPr>
          <w:p>
            <w:r>
              <w:t>SWIFT</w:t>
            </w:r>
          </w:p>
        </w:tc>
        <w:tc>
          <w:tcPr>
            <w:tcW w:type="dxa" w:w="2340"/>
          </w:tcPr>
          <w:p>
            <w:r>
              <w:t>Member, BIC SALMSOSO</w:t>
            </w:r>
          </w:p>
        </w:tc>
        <w:tc>
          <w:tcPr>
            <w:tcW w:type="dxa" w:w="2340"/>
          </w:tcPr>
          <w:p>
            <w:r>
              <w:t>International correspondent banking + MT103 wire settlement</w:t>
            </w:r>
          </w:p>
        </w:tc>
      </w:tr>
      <w:tr>
        <w:tc>
          <w:tcPr>
            <w:tcW w:type="dxa" w:w="2340"/>
          </w:tcPr>
          <w:p>
            <w:r>
              <w:t>International</w:t>
            </w:r>
          </w:p>
        </w:tc>
        <w:tc>
          <w:tcPr>
            <w:tcW w:type="dxa" w:w="2340"/>
          </w:tcPr>
          <w:p>
            <w:r>
              <w:t>ISO</w:t>
            </w:r>
          </w:p>
        </w:tc>
        <w:tc>
          <w:tcPr>
            <w:tcW w:type="dxa" w:w="2340"/>
          </w:tcPr>
          <w:p>
            <w:r>
              <w:t>9001:2015 certified (2022)</w:t>
            </w:r>
          </w:p>
        </w:tc>
        <w:tc>
          <w:tcPr>
            <w:tcW w:type="dxa" w:w="2340"/>
          </w:tcPr>
          <w:p>
            <w:r>
              <w:t>Quality management system covering banking operations</w:t>
            </w:r>
          </w:p>
        </w:tc>
      </w:tr>
      <w:tr>
        <w:tc>
          <w:tcPr>
            <w:tcW w:type="dxa" w:w="2340"/>
          </w:tcPr>
          <w:p>
            <w:r>
              <w:t>Horn of Africa</w:t>
            </w:r>
          </w:p>
        </w:tc>
        <w:tc>
          <w:tcPr>
            <w:tcW w:type="dxa" w:w="2340"/>
          </w:tcPr>
          <w:p>
            <w:r>
              <w:t>Shariah Supervisory Board (in-house)</w:t>
            </w:r>
          </w:p>
        </w:tc>
        <w:tc>
          <w:tcPr>
            <w:tcW w:type="dxa" w:w="2340"/>
          </w:tcPr>
          <w:p>
            <w:r>
              <w:t>AAOIFI-aligned Fatwa approval</w:t>
            </w:r>
          </w:p>
        </w:tc>
        <w:tc>
          <w:tcPr>
            <w:tcW w:type="dxa" w:w="2340"/>
          </w:tcPr>
          <w:p>
            <w:r>
              <w:t>Per-product Shariah compliance opinion for every Murabahah / Mudharabah / Musharakah / Ijaarah / Sukuk / Takaful instrument launched under this partnership</w:t>
            </w:r>
          </w:p>
        </w:tc>
      </w:tr>
    </w:tbl>
    <w:p>
      <w:pPr>
        <w:keepNext/>
        <w:spacing w:before="200" w:after="80"/>
        <w:jc w:val="left"/>
      </w:pPr>
      <w:r>
        <w:rPr>
          <w:b/>
          <w:sz w:val="24"/>
        </w:rPr>
        <w:t>SCHEDULE 2 — SF PRIVATE PAY PSP PRODUCT</w:t>
      </w:r>
    </w:p>
    <w:p>
      <w:pPr>
        <w:spacing w:after="120"/>
        <w:jc w:val="both"/>
      </w:pPr>
      <w:r>
        <w:rPr>
          <w:b w:val="0"/>
          <w:i w:val="0"/>
        </w:rPr>
        <w:t>SF Private Pay is the SF Private Bank payment service provider product made available to SSB under this Agreement on the terms set forth below.  Phase 1 capability set, branded within the SSB customer experience as agreed by the Parties, includes:</w:t>
      </w:r>
    </w:p>
    <w:p>
      <w:pPr>
        <w:pStyle w:val="ListBullet"/>
        <w:spacing w:after="40"/>
      </w:pPr>
      <w:r>
        <w:t>(a) Zeekash cash rails (zeekash.com): agent-network cash-in / cash-out for retail customers, with KYC of cash agents performed by SF Private Bank or its regulated affiliates; settlement to SSB customer accounts;</w:t>
      </w:r>
    </w:p>
    <w:p>
      <w:pPr>
        <w:pStyle w:val="ListBullet"/>
        <w:spacing w:after="40"/>
      </w:pPr>
      <w:r>
        <w:t>(b) MyATMen ATM rails (myatmen.com): cash deposit and withdrawal via the MyATMen ATM network;</w:t>
      </w:r>
    </w:p>
    <w:p>
      <w:pPr>
        <w:pStyle w:val="ListBullet"/>
        <w:spacing w:after="40"/>
      </w:pPr>
      <w:r>
        <w:t>(c) Card issuance: physical and virtual debit and prepaid cards, branded for the SSB customer experience, issued through SF Private Bank or its card-issuing partner;</w:t>
      </w:r>
    </w:p>
    <w:p>
      <w:pPr>
        <w:pStyle w:val="ListBullet"/>
        <w:spacing w:after="40"/>
      </w:pPr>
      <w:r>
        <w:t>(d) Applicable local payment rails (e.g., ACH, wire, FedNow in the United States; Faster Payments, BACS, CHAPS in the United Kingdom; SEPA in the European Union; PIX in Brazil; UPI in India; or other locally available rails) coordinated through SF Private Bank or its licensed local partner;</w:t>
      </w:r>
    </w:p>
    <w:p>
      <w:pPr>
        <w:pStyle w:val="ListBullet"/>
        <w:spacing w:after="40"/>
      </w:pPr>
      <w:r>
        <w:t>(e) Stablecoin on/off-ramp: regulated fiat ↔ stablecoin conversion through SF Private Bank’s licensed money-services infrastructure.</w:t>
      </w:r>
    </w:p>
    <w:p>
      <w:pPr>
        <w:spacing w:after="120"/>
        <w:jc w:val="both"/>
      </w:pPr>
      <w:r>
        <w:rPr>
          <w:b w:val="0"/>
          <w:i w:val="0"/>
        </w:rPr>
        <w:t>All SF Private Pay flows are subject to SF Private Bank PSP Platform Terms, AML/CTF program review, sanctions screening, transaction monitoring, and applicable card-network and money-transmission rules.  SSB is responsible for its customer-facing presentation, disclosures, and supervisory procedures relating to SF Private Pay flows.</w:t>
      </w:r>
    </w:p>
    <w:p>
      <w:pPr>
        <w:keepNext/>
        <w:spacing w:before="200" w:after="80"/>
        <w:jc w:val="left"/>
      </w:pPr>
      <w:r>
        <w:rPr>
          <w:b/>
          <w:sz w:val="24"/>
        </w:rPr>
        <w:t>ARTICLE 16 — EXECUTION</w:t>
      </w:r>
    </w:p>
    <w:p>
      <w:pPr>
        <w:spacing w:after="120"/>
        <w:jc w:val="both"/>
      </w:pPr>
      <w:r>
        <w:rPr>
          <w:b w:val="0"/>
          <w:i w:val="0"/>
        </w:rPr>
        <w:t>IN WITNESS WHEREOF, the Parties have caused this Agreement to be executed by their duly authorized representatives as of the Effective Date.</w:t>
      </w:r>
    </w:p>
    <w:p>
      <w:pPr>
        <w:spacing w:after="120"/>
        <w:jc w:val="both"/>
      </w:pPr>
      <w:r>
        <w:rPr>
          <w:b w:val="0"/>
          <w:i w:val="0"/>
        </w:rPr>
      </w:r>
    </w:p>
    <w:p>
      <w:pPr>
        <w:spacing w:after="120"/>
      </w:pPr>
      <w:r>
        <w:rPr>
          <w:b/>
        </w:rPr>
        <w:t>LUX INDUSTRIES INC.</w:t>
      </w:r>
    </w:p>
    <w:p>
      <w:pPr>
        <w:spacing w:after="120"/>
        <w:jc w:val="left"/>
      </w:pPr>
      <w:r>
        <w:rPr>
          <w:b w:val="0"/>
          <w:i w:val="0"/>
        </w:rPr>
        <w:t>By:  ________________________________________________</w:t>
      </w:r>
    </w:p>
    <w:p>
      <w:pPr>
        <w:spacing w:after="120"/>
        <w:jc w:val="left"/>
      </w:pPr>
      <w:r>
        <w:rPr>
          <w:b w:val="0"/>
          <w:i w:val="0"/>
        </w:rPr>
        <w:t>Name:  ________________________________________________</w:t>
      </w:r>
    </w:p>
    <w:p>
      <w:pPr>
        <w:spacing w:after="120"/>
        <w:jc w:val="left"/>
      </w:pPr>
      <w:r>
        <w:rPr>
          <w:b w:val="0"/>
          <w:i w:val="0"/>
        </w:rPr>
        <w:t>Title:  ________________________________________________</w:t>
      </w:r>
    </w:p>
    <w:p>
      <w:pPr>
        <w:spacing w:after="120"/>
        <w:jc w:val="left"/>
      </w:pPr>
      <w:r>
        <w:rPr>
          <w:b w:val="0"/>
          <w:i w:val="0"/>
        </w:rPr>
        <w:t>Date:  ________________________________________________</w:t>
      </w:r>
    </w:p>
    <w:p>
      <w:pPr>
        <w:spacing w:after="120"/>
        <w:jc w:val="both"/>
      </w:pPr>
      <w:r>
        <w:rPr>
          <w:b w:val="0"/>
          <w:i w:val="0"/>
        </w:rPr>
      </w:r>
    </w:p>
    <w:p>
      <w:pPr>
        <w:spacing w:after="120"/>
      </w:pPr>
      <w:r>
        <w:rPr>
          <w:b/>
        </w:rPr>
        <w:t>SALAAM SOMALI BANK</w:t>
      </w:r>
    </w:p>
    <w:p>
      <w:pPr>
        <w:spacing w:after="120"/>
        <w:jc w:val="left"/>
      </w:pPr>
      <w:r>
        <w:rPr>
          <w:b w:val="0"/>
          <w:i w:val="0"/>
        </w:rPr>
        <w:t>By:  ________________________________________________</w:t>
      </w:r>
    </w:p>
    <w:p>
      <w:pPr>
        <w:spacing w:after="120"/>
        <w:jc w:val="left"/>
      </w:pPr>
      <w:r>
        <w:rPr>
          <w:b w:val="0"/>
          <w:i w:val="0"/>
        </w:rPr>
        <w:t>Name:  ________________________________________________</w:t>
      </w:r>
    </w:p>
    <w:p>
      <w:pPr>
        <w:spacing w:after="120"/>
        <w:jc w:val="left"/>
      </w:pPr>
      <w:r>
        <w:rPr>
          <w:b w:val="0"/>
          <w:i w:val="0"/>
        </w:rPr>
        <w:t>Title:  ________________________________________________</w:t>
      </w:r>
    </w:p>
    <w:p>
      <w:pPr>
        <w:spacing w:after="120"/>
        <w:jc w:val="left"/>
      </w:pPr>
      <w:r>
        <w:rPr>
          <w:b w:val="0"/>
          <w:i w:val="0"/>
        </w:rPr>
        <w:t>Date:  ________________________________________________</w:t>
      </w:r>
    </w:p>
    <w:p>
      <w:r>
        <w:br w:type="page"/>
      </w:r>
    </w:p>
    <w:p>
      <w:pPr>
        <w:jc w:val="left"/>
      </w:pPr>
      <w:r>
        <w:rPr>
          <w:b/>
          <w:sz w:val="24"/>
        </w:rPr>
        <w:t>ANNEX B — LUX ECOSYSTEM CROSS-REFERENCE</w:t>
      </w:r>
    </w:p>
    <w:p>
      <w:pPr>
        <w:spacing w:after="120"/>
      </w:pPr>
      <w:r>
        <w:t>This Annex enumerates the named Lux × Local Partner agreements in force or contemplated under the Lux ecosystem at the time of this Agreement. Each named arrangement operates on the same 50/50 net partnership revenue above documented costs structure; partner interoperability is mediated by the Lux backend (bankd, treasuryd, forexd, brokerd, amld, bridge, kms, mpc) and the white-label @luxfi/brand tenant override mechanism. This Annex is informational; it does not modify the substantive terms of this Agreement.</w:t>
      </w:r>
    </w:p>
    <w:p>
      <w:pPr>
        <w:spacing w:before="160" w:after="40"/>
      </w:pPr>
      <w:r>
        <w:rPr>
          <w:b/>
        </w:rPr>
        <w:t>SF Private Bank  (OG-SP-2026-SFPB)</w:t>
      </w:r>
    </w:p>
    <w:p>
      <w:pPr>
        <w:spacing w:after="40"/>
        <w:ind w:left="360"/>
      </w:pPr>
      <w:r>
        <w:rPr>
          <w:b/>
        </w:rPr>
        <w:t xml:space="preserve">Region: </w:t>
      </w:r>
      <w:r>
        <w:t>United States + Canada</w:t>
      </w:r>
    </w:p>
    <w:p>
      <w:pPr>
        <w:spacing w:after="40"/>
        <w:ind w:left="360"/>
      </w:pPr>
      <w:r>
        <w:rPr>
          <w:b/>
        </w:rPr>
        <w:t xml:space="preserve">Role: </w:t>
      </w:r>
      <w:r>
        <w:t>US chartered private bank + BD + ATS + TA + FinCEN MSB + state money-transmitter + CIRO + CSA + FINTRAC stack; operator of SF Private Pay (PSP) including Zeekash agent rails and MyATMen ATM network; card issuance; merchant acquiring.</w:t>
      </w:r>
    </w:p>
    <w:p>
      <w:pPr>
        <w:spacing w:after="40"/>
        <w:ind w:left="360"/>
      </w:pPr>
      <w:r>
        <w:rPr>
          <w:b/>
        </w:rPr>
        <w:t xml:space="preserve">Coordination with this Partnership: </w:t>
      </w:r>
      <w:r>
        <w:t>Provides the regulated US/CA bank, BD, PSP, and card-issuance rails that every other named Lux ecosystem partner can plug into via the Lux backend (treasury / forex / bankd / amld).</w:t>
      </w:r>
    </w:p>
    <w:p>
      <w:pPr>
        <w:spacing w:after="40"/>
        <w:ind w:left="360"/>
      </w:pPr>
      <w:r>
        <w:rPr>
          <w:b/>
        </w:rPr>
        <w:t xml:space="preserve">Status: </w:t>
      </w:r>
      <w:r>
        <w:t>Brief delivered (sfpb_integration_brief.pdf); awaiting kickoff per §7 of the brief.</w:t>
      </w:r>
    </w:p>
    <w:p>
      <w:pPr>
        <w:spacing w:before="160" w:after="40"/>
      </w:pPr>
      <w:r>
        <w:rPr>
          <w:b/>
        </w:rPr>
        <w:t>SogoTrade, Inc.  (OG-SP-2026-SOGO)</w:t>
      </w:r>
    </w:p>
    <w:p>
      <w:pPr>
        <w:spacing w:after="40"/>
        <w:ind w:left="360"/>
      </w:pPr>
      <w:r>
        <w:rPr>
          <w:b/>
        </w:rPr>
        <w:t xml:space="preserve">Region: </w:t>
      </w:r>
      <w:r>
        <w:t>United States</w:t>
      </w:r>
    </w:p>
    <w:p>
      <w:pPr>
        <w:spacing w:after="40"/>
        <w:ind w:left="360"/>
      </w:pPr>
      <w:r>
        <w:rPr>
          <w:b/>
        </w:rPr>
        <w:t xml:space="preserve">Role: </w:t>
      </w:r>
      <w:r>
        <w:t>US registered broker-dealer; introduction + execution + distribution of US securities to a retail customer base.</w:t>
      </w:r>
    </w:p>
    <w:p>
      <w:pPr>
        <w:spacing w:after="40"/>
        <w:ind w:left="360"/>
      </w:pPr>
      <w:r>
        <w:rPr>
          <w:b/>
        </w:rPr>
        <w:t xml:space="preserve">Coordination with this Partnership: </w:t>
      </w:r>
      <w:r>
        <w:t>Uses SFPB for ACH/wire settlement, card-funded buy-side deposits, and (optionally) the SF Private Bank ATS as an additional execution venue. Customer KYC via Simplici.io with WRA reliance from SFPB.</w:t>
      </w:r>
    </w:p>
    <w:p>
      <w:pPr>
        <w:spacing w:after="40"/>
        <w:ind w:left="360"/>
      </w:pPr>
      <w:r>
        <w:rPr>
          <w:b/>
        </w:rPr>
        <w:t xml:space="preserve">Status: </w:t>
      </w:r>
      <w:r>
        <w:t>Agreement delivered.</w:t>
      </w:r>
    </w:p>
    <w:p>
      <w:pPr>
        <w:spacing w:before="160" w:after="40"/>
      </w:pPr>
      <w:r>
        <w:rPr>
          <w:b/>
        </w:rPr>
        <w:t>AvaTrade Ltd.  (OG-SP-2026-AVA)</w:t>
      </w:r>
    </w:p>
    <w:p>
      <w:pPr>
        <w:spacing w:after="40"/>
        <w:ind w:left="360"/>
      </w:pPr>
      <w:r>
        <w:rPr>
          <w:b/>
        </w:rPr>
        <w:t xml:space="preserve">Region: </w:t>
      </w:r>
      <w:r>
        <w:t>Ireland / EU / Australia / South Africa / UK / Japan / BVI / UAE.</w:t>
      </w:r>
    </w:p>
    <w:p>
      <w:pPr>
        <w:spacing w:after="40"/>
        <w:ind w:left="360"/>
      </w:pPr>
      <w:r>
        <w:rPr>
          <w:b/>
        </w:rPr>
        <w:t xml:space="preserve">Role: </w:t>
      </w:r>
      <w:r>
        <w:t>Multi-jurisdiction regulated retail brokerage group (Ireland Central Bank, ASIC, FSCA, FCA, JFSA, BVI FSC, ADGM FSRA).</w:t>
      </w:r>
    </w:p>
    <w:p>
      <w:pPr>
        <w:spacing w:after="40"/>
        <w:ind w:left="360"/>
      </w:pPr>
      <w:r>
        <w:rPr>
          <w:b/>
        </w:rPr>
        <w:t xml:space="preserve">Coordination with this Partnership: </w:t>
      </w:r>
      <w:r>
        <w:t>Uses SFPB for US-side IBAN equivalents (ACH + Fedwire), card funding via SF Private Pay, and access to the SF Private Bank ATS for US securities sleeves. Cross-currency settlement via forex/currencycloud and SFPB-coordinated FX. Customer onboarding via Simplici.io.</w:t>
      </w:r>
    </w:p>
    <w:p>
      <w:pPr>
        <w:spacing w:after="40"/>
        <w:ind w:left="360"/>
      </w:pPr>
      <w:r>
        <w:rPr>
          <w:b/>
        </w:rPr>
        <w:t xml:space="preserve">Status: </w:t>
      </w:r>
      <w:r>
        <w:t>Agreement delivered.</w:t>
      </w:r>
    </w:p>
    <w:p>
      <w:pPr>
        <w:spacing w:before="160" w:after="40"/>
      </w:pPr>
      <w:r>
        <w:rPr>
          <w:b/>
        </w:rPr>
        <w:t>Atmen Ltd.  (OG-SP-2026-ATM)</w:t>
      </w:r>
    </w:p>
    <w:p>
      <w:pPr>
        <w:spacing w:after="40"/>
        <w:ind w:left="360"/>
      </w:pPr>
      <w:r>
        <w:rPr>
          <w:b/>
        </w:rPr>
        <w:t xml:space="preserve">Region: </w:t>
      </w:r>
      <w:r>
        <w:t>United Kingdom</w:t>
      </w:r>
    </w:p>
    <w:p>
      <w:pPr>
        <w:spacing w:after="40"/>
        <w:ind w:left="360"/>
      </w:pPr>
      <w:r>
        <w:rPr>
          <w:b/>
        </w:rPr>
        <w:t xml:space="preserve">Role: </w:t>
      </w:r>
      <w:r>
        <w:t>Culture-led consumer banking and payments application (“Atmen --- Culture meets Currency”) serving an international diaspora customer base.</w:t>
      </w:r>
    </w:p>
    <w:p>
      <w:pPr>
        <w:spacing w:after="40"/>
        <w:ind w:left="360"/>
      </w:pPr>
      <w:r>
        <w:rPr>
          <w:b/>
        </w:rPr>
        <w:t xml:space="preserve">Coordination with this Partnership: </w:t>
      </w:r>
      <w:r>
        <w:t>Uses SFPB for US-dollar deposit accounts, US-issued cards, ACH/wire/FedNow settlement, and stablecoin on/off-ramp. Cross-border GBP ↔ USD via forex/currencycloud + SFPB. Customer onboarding via Simplici.io. Reliance Agreement with SFPB for CIP records.</w:t>
      </w:r>
    </w:p>
    <w:p>
      <w:pPr>
        <w:spacing w:after="40"/>
        <w:ind w:left="360"/>
      </w:pPr>
      <w:r>
        <w:rPr>
          <w:b/>
        </w:rPr>
        <w:t xml:space="preserve">Status: </w:t>
      </w:r>
      <w:r>
        <w:t>Agreement delivered.</w:t>
      </w:r>
    </w:p>
    <w:p>
      <w:pPr>
        <w:spacing w:before="200"/>
        <w:jc w:val="left"/>
      </w:pPr>
      <w:r>
        <w:t xml:space="preserve">The full ecosystem registry, including any partners added after the Effective Date of this Agreement, is maintained at </w:t>
      </w:r>
      <w:r>
        <w:rPr>
          <w:rFonts w:ascii="Courier New" w:hAnsi="Courier New"/>
        </w:rPr>
        <w:t>partnerships/ECOSYSTEM.md</w:t>
      </w:r>
      <w:r>
        <w:t xml:space="preserve"> in the lux/legal repository. Counterparty acknowledges that the addition of further named partners does not amend or modify this Agreement; any commercial coordination beyond this Annex is governed by separate written documentation between Counterparty and the relevant third party.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