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AvaTrade Ltd.)</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AvaTrade Ltd., a private limited company organized under the laws of Ireland, with registered office at Five Lamps Place, 77 Amiens Street, Dublin 1, D01 K640, Ireland (Companies Registration Office No. 469951) (“AvaTrade” or the “Local Partner”).  Lux Industries and AvaTrade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AvaTrade is a multi-jurisdiction regulated retail brokerage group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AvaTrade,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AvaTrade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AvaTrade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AvaTrade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AvaTrade’s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AvaTrade customer experience;</w:t>
      </w:r>
    </w:p>
    <w:p>
      <w:pPr>
        <w:pStyle w:val="ListBullet"/>
        <w:spacing w:after="40"/>
      </w:pPr>
      <w:r>
        <w:t>(b) Lux Network integration, including identity, content-addressed audit, and (where applicable) settlement primitives used to record and reconcile activity arising from the AvaTrade customer base under the Local Partner Licensed Activity; and</w:t>
      </w:r>
    </w:p>
    <w:p>
      <w:pPr>
        <w:pStyle w:val="ListBullet"/>
        <w:spacing w:after="40"/>
      </w:pPr>
      <w:r>
        <w:t>(c) SF Private Pay PSP enablement as set forth in Schedule 2, pursuant to which AvaTrade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AvaTrade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AvaTrade’s customers the combined capabilities of AvaTrade’s licensed regulated stack and the Lux Network technology and coordination stack; (b) reduce onboarding friction, cost, and fraud risk through Simplici.io; (c) where in scope, enable AvaTrade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AvaTrade’s flow on the Lux Network or associated services and (b) revenue earned by AvaTrade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AvaTrade.</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AvaTrade within fifteen (15) business days of each calendar month-end showing, for the prior month, Gross Partnership Revenue, Documented Costs by category, Net Partnership Revenue, and the resulting 50/50 split.  AvaTrade shall reciprocally report any Gross Partnership Revenue earned directly by AvaTrade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AvaTrade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AvaTrade may charge additional spread, commission, or other pricing to its customers in respect of products produced through the Local Partner Licensed Activity, and AvaTrade shall retain one hundred percent (100%) of such customer-facing markups, subject to applicable law and AvaTrade’s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AvaTrade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AvaTrade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AvaTrade shall have direct, independent access to all onboarding records, verification outputs, and CIP artifacts in respect of its customers through Simplici.io.  AvaTrade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AvaTrade to perform technology-platform functions on behalf of Lux Industries, or to require Lux Industries to perform Local Partner Licensed Activity on behalf of AvaTrade.</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AvaTrade owns or controls its customer data.  Lux Industries and the applicable platform providers shall act as service providers / data processors, processing such data solely to provide the services and as documented by AvaTrade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AvaTrade within seventy-two (72) hours after becoming aware of any confirmed or reasonably suspected cybersecurity incident, data breach, or unauthorized access involving AvaTrade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AvaTrade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AvaTrade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AvaTrade.</w:t>
      </w:r>
    </w:p>
    <w:p>
      <w:pPr>
        <w:spacing w:after="120"/>
        <w:jc w:val="both"/>
      </w:pPr>
      <w:r>
        <w:rPr>
          <w:b w:val="0"/>
          <w:i w:val="0"/>
        </w:rPr>
        <w:t>AvaTrade shall indemnify, defend, and hold harmless Lux Industries and its affiliates and their respective officers, directors, employees, and agents from and against any third-party claims, damages, liabilities, penalties, fines, and reasonable attorneys’ fees arising out of or relating to (a) AvaTrade’s material breach of this Agreement; (b) AvaTrade’s gross negligence or willful misconduct; (c) AvaTrade’s conduct of the Local Partner Licensed Activity; or (d) AvaTrade’s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AvaTrade’s systems, with a white-labeled user experience within AvaTrade’s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AvaTrade: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AVATRADE LICENSE STACK</w:t>
      </w:r>
    </w:p>
    <w:p>
      <w:pPr>
        <w:spacing w:after="120"/>
        <w:jc w:val="both"/>
      </w:pPr>
      <w:r>
        <w:rPr>
          <w:b w:val="0"/>
          <w:i w:val="0"/>
        </w:rPr>
        <w:t>The following licenses and registrations held by AvaTrade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Ireland</w:t>
            </w:r>
          </w:p>
        </w:tc>
        <w:tc>
          <w:tcPr>
            <w:tcW w:type="dxa" w:w="2340"/>
          </w:tcPr>
          <w:p>
            <w:r>
              <w:t>Central Bank of Ireland</w:t>
            </w:r>
          </w:p>
        </w:tc>
        <w:tc>
          <w:tcPr>
            <w:tcW w:type="dxa" w:w="2340"/>
          </w:tcPr>
          <w:p>
            <w:r>
              <w:t>Investment Firm (MiFID II authorisation)</w:t>
            </w:r>
          </w:p>
        </w:tc>
        <w:tc>
          <w:tcPr>
            <w:tcW w:type="dxa" w:w="2340"/>
          </w:tcPr>
          <w:p>
            <w:r>
              <w:t>EEA-passported investment services and ancillary services</w:t>
            </w:r>
          </w:p>
        </w:tc>
      </w:tr>
      <w:tr>
        <w:tc>
          <w:tcPr>
            <w:tcW w:type="dxa" w:w="2340"/>
          </w:tcPr>
          <w:p>
            <w:r>
              <w:t>European Union</w:t>
            </w:r>
          </w:p>
        </w:tc>
        <w:tc>
          <w:tcPr>
            <w:tcW w:type="dxa" w:w="2340"/>
          </w:tcPr>
          <w:p>
            <w:r>
              <w:t>ESMA / NCAs</w:t>
            </w:r>
          </w:p>
        </w:tc>
        <w:tc>
          <w:tcPr>
            <w:tcW w:type="dxa" w:w="2340"/>
          </w:tcPr>
          <w:p>
            <w:r>
              <w:t>MiFID II passport</w:t>
            </w:r>
          </w:p>
        </w:tc>
        <w:tc>
          <w:tcPr>
            <w:tcW w:type="dxa" w:w="2340"/>
          </w:tcPr>
          <w:p>
            <w:r>
              <w:t>Cross-border investment services in EU member states</w:t>
            </w:r>
          </w:p>
        </w:tc>
      </w:tr>
      <w:tr>
        <w:tc>
          <w:tcPr>
            <w:tcW w:type="dxa" w:w="2340"/>
          </w:tcPr>
          <w:p>
            <w:r>
              <w:t>South Africa</w:t>
            </w:r>
          </w:p>
        </w:tc>
        <w:tc>
          <w:tcPr>
            <w:tcW w:type="dxa" w:w="2340"/>
          </w:tcPr>
          <w:p>
            <w:r>
              <w:t>FSCA</w:t>
            </w:r>
          </w:p>
        </w:tc>
        <w:tc>
          <w:tcPr>
            <w:tcW w:type="dxa" w:w="2340"/>
          </w:tcPr>
          <w:p>
            <w:r>
              <w:t>Authorised Financial Services Provider (FSP)</w:t>
            </w:r>
          </w:p>
        </w:tc>
        <w:tc>
          <w:tcPr>
            <w:tcW w:type="dxa" w:w="2340"/>
          </w:tcPr>
          <w:p>
            <w:r>
              <w:t>Retail and institutional financial services in ZA</w:t>
            </w:r>
          </w:p>
        </w:tc>
      </w:tr>
      <w:tr>
        <w:tc>
          <w:tcPr>
            <w:tcW w:type="dxa" w:w="2340"/>
          </w:tcPr>
          <w:p>
            <w:r>
              <w:t>Australia</w:t>
            </w:r>
          </w:p>
        </w:tc>
        <w:tc>
          <w:tcPr>
            <w:tcW w:type="dxa" w:w="2340"/>
          </w:tcPr>
          <w:p>
            <w:r>
              <w:t>ASIC</w:t>
            </w:r>
          </w:p>
        </w:tc>
        <w:tc>
          <w:tcPr>
            <w:tcW w:type="dxa" w:w="2340"/>
          </w:tcPr>
          <w:p>
            <w:r>
              <w:t>Australian Financial Services Licence (AFSL)</w:t>
            </w:r>
          </w:p>
        </w:tc>
        <w:tc>
          <w:tcPr>
            <w:tcW w:type="dxa" w:w="2340"/>
          </w:tcPr>
          <w:p>
            <w:r>
              <w:t>Retail and wholesale financial services in AU</w:t>
            </w:r>
          </w:p>
        </w:tc>
      </w:tr>
      <w:tr>
        <w:tc>
          <w:tcPr>
            <w:tcW w:type="dxa" w:w="2340"/>
          </w:tcPr>
          <w:p>
            <w:r>
              <w:t>United Kingdom</w:t>
            </w:r>
          </w:p>
        </w:tc>
        <w:tc>
          <w:tcPr>
            <w:tcW w:type="dxa" w:w="2340"/>
          </w:tcPr>
          <w:p>
            <w:r>
              <w:t>FCA</w:t>
            </w:r>
          </w:p>
        </w:tc>
        <w:tc>
          <w:tcPr>
            <w:tcW w:type="dxa" w:w="2340"/>
          </w:tcPr>
          <w:p>
            <w:r>
              <w:t>Authorised under FSMA</w:t>
            </w:r>
          </w:p>
        </w:tc>
        <w:tc>
          <w:tcPr>
            <w:tcW w:type="dxa" w:w="2340"/>
          </w:tcPr>
          <w:p>
            <w:r>
              <w:t>UK-side retail investment services</w:t>
            </w:r>
          </w:p>
        </w:tc>
      </w:tr>
      <w:tr>
        <w:tc>
          <w:tcPr>
            <w:tcW w:type="dxa" w:w="2340"/>
          </w:tcPr>
          <w:p>
            <w:r>
              <w:t>Japan</w:t>
            </w:r>
          </w:p>
        </w:tc>
        <w:tc>
          <w:tcPr>
            <w:tcW w:type="dxa" w:w="2340"/>
          </w:tcPr>
          <w:p>
            <w:r>
              <w:t>JFSA / FFAJ</w:t>
            </w:r>
          </w:p>
        </w:tc>
        <w:tc>
          <w:tcPr>
            <w:tcW w:type="dxa" w:w="2340"/>
          </w:tcPr>
          <w:p>
            <w:r>
              <w:t>Type 1 Financial Instruments Business</w:t>
            </w:r>
          </w:p>
        </w:tc>
        <w:tc>
          <w:tcPr>
            <w:tcW w:type="dxa" w:w="2340"/>
          </w:tcPr>
          <w:p>
            <w:r>
              <w:t>Retail FX and CFD services in Japan</w:t>
            </w:r>
          </w:p>
        </w:tc>
      </w:tr>
      <w:tr>
        <w:tc>
          <w:tcPr>
            <w:tcW w:type="dxa" w:w="2340"/>
          </w:tcPr>
          <w:p>
            <w:r>
              <w:t>British Virgin Islands</w:t>
            </w:r>
          </w:p>
        </w:tc>
        <w:tc>
          <w:tcPr>
            <w:tcW w:type="dxa" w:w="2340"/>
          </w:tcPr>
          <w:p>
            <w:r>
              <w:t>BVI FSC</w:t>
            </w:r>
          </w:p>
        </w:tc>
        <w:tc>
          <w:tcPr>
            <w:tcW w:type="dxa" w:w="2340"/>
          </w:tcPr>
          <w:p>
            <w:r>
              <w:t>BVI investment business approval</w:t>
            </w:r>
          </w:p>
        </w:tc>
        <w:tc>
          <w:tcPr>
            <w:tcW w:type="dxa" w:w="2340"/>
          </w:tcPr>
          <w:p>
            <w:r>
              <w:t>International retail brokerage services</w:t>
            </w:r>
          </w:p>
        </w:tc>
      </w:tr>
      <w:tr>
        <w:tc>
          <w:tcPr>
            <w:tcW w:type="dxa" w:w="2340"/>
          </w:tcPr>
          <w:p>
            <w:r>
              <w:t>Abu Dhabi (UAE)</w:t>
            </w:r>
          </w:p>
        </w:tc>
        <w:tc>
          <w:tcPr>
            <w:tcW w:type="dxa" w:w="2340"/>
          </w:tcPr>
          <w:p>
            <w:r>
              <w:t>ADGM FSRA</w:t>
            </w:r>
          </w:p>
        </w:tc>
        <w:tc>
          <w:tcPr>
            <w:tcW w:type="dxa" w:w="2340"/>
          </w:tcPr>
          <w:p>
            <w:r>
              <w:t>Financial Services Permission</w:t>
            </w:r>
          </w:p>
        </w:tc>
        <w:tc>
          <w:tcPr>
            <w:tcW w:type="dxa" w:w="2340"/>
          </w:tcPr>
          <w:p>
            <w:r>
              <w:t>MENA retail brokerage services</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AvaTrade under this Agreement on the terms set forth below.  Phase 1 capability set, branded within the AvaTrade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AvaTrade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AvaTrade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AvaTrade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AVATRADE LTD.</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