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b w:val="1"/>
          <w:bCs w:val="1"/>
          <w:color w:val="000000"/>
          <w:sz w:val="48"/>
          <w:szCs w:val="48"/>
        </w:rPr>
      </w:pPr>
      <w:r w:rsidDel="00000000" w:rsidR="00000000" w:rsidRPr="00000000">
        <w:rPr/>
        <w:drawing>
          <wp:inline distB="0" distT="0" distL="0" distR="0">
            <wp:extent cx="914400" cy="91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240" w:lineRule="auto"/>
        <w:rPr>
          <w:color w:val="000000"/>
        </w:rPr>
      </w:pPr>
      <w:r w:rsidDel="00000000" w:rsidR="00000000" w:rsidRPr="00000000">
        <w:rPr>
          <w:b w:val="1"/>
          <w:bCs w:val="1"/>
          <w:color w:val="000000"/>
          <w:rtl w:val="0"/>
        </w:rPr>
        <w:t xml:space="preserve">tZERO Securities and Liquidity.io Enter Strategic Partnership to Expand Access to Tokenized Assets</w:t>
      </w:r>
      <w:r w:rsidDel="00000000" w:rsidR="00000000" w:rsidRPr="00000000">
        <w:rPr>
          <w:rtl w:val="0"/>
        </w:rPr>
      </w:r>
    </w:p>
    <w:p w:rsidR="00000000" w:rsidDel="00000000" w:rsidP="00000000" w:rsidRDefault="00000000" w:rsidRPr="00000000" w14:paraId="00000003">
      <w:pPr>
        <w:spacing w:after="280" w:before="280" w:line="240" w:lineRule="auto"/>
        <w:rPr>
          <w:color w:val="000000"/>
        </w:rPr>
      </w:pPr>
      <w:r w:rsidDel="00000000" w:rsidR="00000000" w:rsidRPr="00000000">
        <w:rPr>
          <w:color w:val="000000"/>
          <w:rtl w:val="0"/>
        </w:rPr>
        <w:t xml:space="preserve">NEW YORK, NY – May XX, 2026 – </w:t>
      </w:r>
      <w:hyperlink r:id="rId8">
        <w:r w:rsidDel="00000000" w:rsidR="00000000" w:rsidRPr="00000000">
          <w:rPr>
            <w:b w:val="1"/>
            <w:bCs w:val="1"/>
            <w:color w:val="0000ff"/>
            <w:u w:val="single"/>
            <w:rtl w:val="0"/>
          </w:rPr>
          <w:t xml:space="preserve">tZERO Group, Inc.</w:t>
        </w:r>
      </w:hyperlink>
      <w:r w:rsidDel="00000000" w:rsidR="00000000" w:rsidRPr="00000000">
        <w:rPr>
          <w:color w:val="000000"/>
          <w:rtl w:val="0"/>
        </w:rPr>
        <w:t xml:space="preserve">, a tokenization infrastructure leader, today announced that it has entered into a strategic partnership with Liquidity.io, Inc., a broker-dealer and ATS operator focused on private credit, pre-IPO and alternative investments.</w:t>
      </w:r>
    </w:p>
    <w:p w:rsidR="00000000" w:rsidDel="00000000" w:rsidP="00000000" w:rsidRDefault="00000000" w:rsidRPr="00000000" w14:paraId="00000004">
      <w:pPr>
        <w:spacing w:after="280" w:before="280" w:line="240" w:lineRule="auto"/>
        <w:rPr>
          <w:color w:val="000000"/>
        </w:rPr>
      </w:pPr>
      <w:r w:rsidDel="00000000" w:rsidR="00000000" w:rsidRPr="00000000">
        <w:rPr>
          <w:color w:val="000000"/>
          <w:rtl w:val="0"/>
        </w:rPr>
        <w:t xml:space="preserve">The partnership creates a framework for the firms to make certain eligible tokenized assets available t</w:t>
      </w:r>
      <w:r w:rsidDel="00000000" w:rsidR="00000000" w:rsidRPr="00000000">
        <w:rPr>
          <w:rtl w:val="0"/>
        </w:rPr>
        <w:t xml:space="preserve">o their </w:t>
      </w:r>
      <w:r w:rsidDel="00000000" w:rsidR="00000000" w:rsidRPr="00000000">
        <w:rPr>
          <w:color w:val="000000"/>
          <w:rtl w:val="0"/>
        </w:rPr>
        <w:t xml:space="preserve">respective </w:t>
      </w:r>
      <w:r w:rsidDel="00000000" w:rsidR="00000000" w:rsidRPr="00000000">
        <w:rPr>
          <w:rtl w:val="0"/>
        </w:rPr>
        <w:t xml:space="preserve">clientbases</w:t>
      </w:r>
      <w:r w:rsidDel="00000000" w:rsidR="00000000" w:rsidRPr="00000000">
        <w:rPr>
          <w:color w:val="000000"/>
          <w:rtl w:val="0"/>
        </w:rPr>
        <w:t xml:space="preserve">, expanding distribution opportunities and investor access to private and alternative market products.</w:t>
      </w:r>
    </w:p>
    <w:p w:rsidR="00000000" w:rsidDel="00000000" w:rsidP="00000000" w:rsidRDefault="00000000" w:rsidRPr="00000000" w14:paraId="00000005">
      <w:pPr>
        <w:spacing w:after="280" w:before="280" w:line="240" w:lineRule="auto"/>
        <w:rPr>
          <w:color w:val="000000"/>
        </w:rPr>
      </w:pPr>
      <w:r w:rsidDel="00000000" w:rsidR="00000000" w:rsidRPr="00000000">
        <w:rPr>
          <w:color w:val="000000"/>
          <w:rtl w:val="0"/>
        </w:rPr>
        <w:t xml:space="preserve">Under the partnership, each firm will be able to facilitate customer access to eligible assets available on the other firm’s platform through a reciprocal cross-trading structure.</w:t>
      </w:r>
    </w:p>
    <w:p w:rsidR="00000000" w:rsidDel="00000000" w:rsidP="00000000" w:rsidRDefault="00000000" w:rsidRPr="00000000" w14:paraId="00000006">
      <w:pPr>
        <w:spacing w:after="280" w:before="280" w:line="240" w:lineRule="auto"/>
        <w:rPr>
          <w:color w:val="000000"/>
        </w:rPr>
      </w:pPr>
      <w:r w:rsidDel="00000000" w:rsidR="00000000" w:rsidRPr="00000000">
        <w:rPr>
          <w:color w:val="000000"/>
          <w:rtl w:val="0"/>
        </w:rPr>
        <w:t xml:space="preserve">“Tokenized markets will require interoperable infrastructure and broader connectivity between regulated venues,” said </w:t>
      </w:r>
      <w:r w:rsidDel="00000000" w:rsidR="00000000" w:rsidRPr="00000000">
        <w:rPr>
          <w:b w:val="1"/>
          <w:bCs w:val="1"/>
          <w:color w:val="000000"/>
          <w:rtl w:val="0"/>
        </w:rPr>
        <w:t xml:space="preserve">Alan Konevsky, Chief Executive Officer of tZERO</w:t>
      </w:r>
      <w:r w:rsidDel="00000000" w:rsidR="00000000" w:rsidRPr="00000000">
        <w:rPr>
          <w:color w:val="000000"/>
          <w:rtl w:val="0"/>
        </w:rPr>
        <w:t xml:space="preserve">. “This relationship with Liquidity.io reflects a shared focus on expanding access to digital asset securities and building more connected market infrastructure for issuers, investors and intermediaries.”</w:t>
      </w:r>
    </w:p>
    <w:p w:rsidR="00000000" w:rsidDel="00000000" w:rsidP="00000000" w:rsidRDefault="00000000" w:rsidRPr="00000000" w14:paraId="00000007">
      <w:pPr>
        <w:spacing w:after="280" w:before="280" w:line="240" w:lineRule="auto"/>
        <w:rPr>
          <w:color w:val="000000"/>
        </w:rPr>
      </w:pPr>
      <w:r w:rsidDel="00000000" w:rsidR="00000000" w:rsidRPr="00000000">
        <w:rPr>
          <w:color w:val="000000"/>
          <w:rtl w:val="0"/>
        </w:rPr>
        <w:t xml:space="preserve">[</w:t>
      </w:r>
      <w:r w:rsidDel="00000000" w:rsidR="00000000" w:rsidRPr="00000000">
        <w:rPr>
          <w:color w:val="000000"/>
          <w:highlight w:val="yellow"/>
          <w:rtl w:val="0"/>
        </w:rPr>
        <w:t xml:space="preserve">LIQUIDITY.IO EXECUTIVE QUOTE</w:t>
      </w:r>
      <w:r w:rsidDel="00000000" w:rsidR="00000000" w:rsidRPr="00000000">
        <w:rPr>
          <w:color w:val="000000"/>
          <w:rtl w:val="0"/>
        </w:rPr>
        <w:t xml:space="preserve"> Coleman Church, CEO]</w:t>
      </w:r>
    </w:p>
    <w:p w:rsidR="00000000" w:rsidDel="00000000" w:rsidP="00000000" w:rsidRDefault="00000000" w:rsidRPr="00000000" w14:paraId="00000008">
      <w:pPr>
        <w:spacing w:after="280" w:before="280" w:line="240" w:lineRule="auto"/>
        <w:rPr>
          <w:color w:val="000000"/>
        </w:rPr>
      </w:pPr>
      <w:r w:rsidDel="00000000" w:rsidR="00000000" w:rsidRPr="00000000">
        <w:rPr>
          <w:color w:val="000000"/>
          <w:rtl w:val="0"/>
        </w:rPr>
        <w:t xml:space="preserve">The partnership is expected to support:</w:t>
      </w:r>
    </w:p>
    <w:p w:rsidR="00000000" w:rsidDel="00000000" w:rsidP="00000000" w:rsidRDefault="00000000" w:rsidRPr="00000000" w14:paraId="00000009">
      <w:pPr>
        <w:numPr>
          <w:ilvl w:val="0"/>
          <w:numId w:val="1"/>
        </w:numPr>
        <w:spacing w:after="0" w:before="280" w:line="240" w:lineRule="auto"/>
        <w:ind w:left="720" w:hanging="360"/>
        <w:rPr>
          <w:color w:val="000000"/>
        </w:rPr>
      </w:pPr>
      <w:r w:rsidDel="00000000" w:rsidR="00000000" w:rsidRPr="00000000">
        <w:rPr>
          <w:color w:val="000000"/>
          <w:rtl w:val="0"/>
        </w:rPr>
        <w:t xml:space="preserve">reciprocal access to eligible tokenized assets and digital securities</w:t>
      </w:r>
    </w:p>
    <w:p w:rsidR="00000000" w:rsidDel="00000000" w:rsidP="00000000" w:rsidRDefault="00000000" w:rsidRPr="00000000" w14:paraId="0000000A">
      <w:pPr>
        <w:numPr>
          <w:ilvl w:val="0"/>
          <w:numId w:val="1"/>
        </w:numPr>
        <w:spacing w:after="0" w:before="0" w:line="240" w:lineRule="auto"/>
        <w:ind w:left="720" w:hanging="360"/>
        <w:rPr>
          <w:color w:val="000000"/>
        </w:rPr>
      </w:pPr>
      <w:r w:rsidDel="00000000" w:rsidR="00000000" w:rsidRPr="00000000">
        <w:rPr>
          <w:color w:val="000000"/>
          <w:rtl w:val="0"/>
        </w:rPr>
        <w:t xml:space="preserve">expanded distribution opportunities across both platforms</w:t>
      </w:r>
    </w:p>
    <w:p w:rsidR="00000000" w:rsidDel="00000000" w:rsidP="00000000" w:rsidRDefault="00000000" w:rsidRPr="00000000" w14:paraId="0000000B">
      <w:pPr>
        <w:spacing w:after="280" w:before="280" w:line="240" w:lineRule="auto"/>
        <w:rPr>
          <w:color w:val="000000"/>
        </w:rPr>
      </w:pPr>
      <w:r w:rsidDel="00000000" w:rsidR="00000000" w:rsidRPr="00000000">
        <w:rPr>
          <w:color w:val="000000"/>
          <w:rtl w:val="0"/>
        </w:rPr>
        <w:t xml:space="preserve">Liquidity.io operates a digital ATS focused on private credit, pre-IPO and alternative investments, while tZERO Securities operates a regulated ATS for digital asset securities and other private market assets.</w:t>
      </w:r>
    </w:p>
    <w:p w:rsidR="00000000" w:rsidDel="00000000" w:rsidP="00000000" w:rsidRDefault="00000000" w:rsidRPr="00000000" w14:paraId="0000000C">
      <w:pPr>
        <w:spacing w:after="280" w:before="280" w:line="240" w:lineRule="auto"/>
        <w:jc w:val="center"/>
        <w:rPr>
          <w:color w:val="000000"/>
        </w:rPr>
      </w:pPr>
      <w:r w:rsidDel="00000000" w:rsidR="00000000" w:rsidRPr="00000000">
        <w:rPr>
          <w:rtl w:val="0"/>
        </w:rPr>
        <w:t xml:space="preserve">--END--</w:t>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b w:val="1"/>
          <w:bCs w:val="1"/>
        </w:rPr>
      </w:pPr>
      <w:r w:rsidDel="00000000" w:rsidR="00000000" w:rsidRPr="00000000">
        <w:rPr>
          <w:b w:val="1"/>
          <w:bCs w:val="1"/>
          <w:rtl w:val="0"/>
        </w:rPr>
        <w:t xml:space="preserve">tZERO Media Contact:</w:t>
      </w:r>
    </w:p>
    <w:p w:rsidR="00000000" w:rsidDel="00000000" w:rsidP="00000000" w:rsidRDefault="00000000" w:rsidRPr="00000000" w14:paraId="0000000F">
      <w:pPr>
        <w:spacing w:after="0" w:line="240" w:lineRule="auto"/>
        <w:rPr/>
      </w:pPr>
      <w:r w:rsidDel="00000000" w:rsidR="00000000" w:rsidRPr="00000000">
        <w:rPr>
          <w:rtl w:val="0"/>
        </w:rPr>
        <w:t xml:space="preserve">Julie Ros, Head of Marketing, Communications &amp; Institutional Growth</w:t>
      </w:r>
    </w:p>
    <w:p w:rsidR="00000000" w:rsidDel="00000000" w:rsidP="00000000" w:rsidRDefault="00000000" w:rsidRPr="00000000" w14:paraId="00000010">
      <w:pPr>
        <w:spacing w:after="0" w:line="240" w:lineRule="auto"/>
        <w:rPr/>
      </w:pPr>
      <w:hyperlink r:id="rId9">
        <w:r w:rsidDel="00000000" w:rsidR="00000000" w:rsidRPr="00000000">
          <w:rPr>
            <w:u w:val="single"/>
            <w:rtl w:val="0"/>
          </w:rPr>
          <w:t xml:space="preserve">jros@tzero.com</w:t>
        </w:r>
      </w:hyperlink>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b w:val="1"/>
          <w:bCs w:val="1"/>
        </w:rPr>
      </w:pPr>
      <w:r w:rsidDel="00000000" w:rsidR="00000000" w:rsidRPr="00000000">
        <w:rPr>
          <w:b w:val="1"/>
          <w:bCs w:val="1"/>
          <w:highlight w:val="yellow"/>
          <w:rtl w:val="0"/>
        </w:rPr>
        <w:t xml:space="preserve">Liquidity.io Contact:</w:t>
      </w:r>
      <w:r w:rsidDel="00000000" w:rsidR="00000000" w:rsidRPr="00000000">
        <w:rPr>
          <w:rtl w:val="0"/>
        </w:rPr>
      </w:r>
    </w:p>
    <w:p w:rsidR="00000000" w:rsidDel="00000000" w:rsidP="00000000" w:rsidRDefault="00000000" w:rsidRPr="00000000" w14:paraId="00000013">
      <w:pPr>
        <w:spacing w:after="280" w:before="28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0"/>
          <w:szCs w:val="20"/>
          <w:highlight w:val="yellow"/>
          <w:u w:val="none"/>
          <w:vertAlign w:val="baseline"/>
          <w:rtl w:val="0"/>
        </w:rPr>
        <w:t xml:space="preserve">About Liquidity.io</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spacing w:after="280" w:before="280" w:line="240" w:lineRule="auto"/>
        <w:rPr>
          <w:color w:val="000000"/>
        </w:rPr>
      </w:pPr>
      <w:r w:rsidDel="00000000" w:rsidR="00000000" w:rsidRPr="00000000">
        <w:rPr>
          <w:color w:val="000000"/>
          <w:highlight w:val="yellow"/>
          <w:rtl w:val="0"/>
        </w:rPr>
        <w:t xml:space="preserve">Liquidity.io is a broker-dealer and operator of a digital alternative trading system focused on private credit, pre-IPO and alternative investments. The platform is designed to provide compliant access, trading and settlement infrastructure for tokenized private market assets.</w:t>
      </w: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About tZERO</w:t>
      </w:r>
    </w:p>
    <w:p w:rsidR="00000000" w:rsidDel="00000000" w:rsidP="00000000" w:rsidRDefault="00000000" w:rsidRPr="00000000" w14:paraId="0000001A">
      <w:pPr>
        <w:rPr>
          <w:sz w:val="20"/>
          <w:szCs w:val="20"/>
        </w:rPr>
      </w:pPr>
      <w:hyperlink r:id="rId10">
        <w:r w:rsidDel="00000000" w:rsidR="00000000" w:rsidRPr="00000000">
          <w:rPr>
            <w:sz w:val="20"/>
            <w:szCs w:val="20"/>
            <w:u w:val="single"/>
            <w:rtl w:val="0"/>
          </w:rPr>
          <w:t xml:space="preserve">tZERO Group, Inc.</w:t>
        </w:r>
      </w:hyperlink>
      <w:r w:rsidDel="00000000" w:rsidR="00000000" w:rsidRPr="00000000">
        <w:rPr>
          <w:sz w:val="20"/>
          <w:szCs w:val="20"/>
          <w:rtl w:val="0"/>
        </w:rPr>
        <w:t xml:space="preserve"> (tZERO) and its broker-dealer subsidiaries provide an innovative liquidity platform for private companies and assets. We offer institutional-grade solutions for issuers looking to digitize their capital table through blockchain technology, and make such equity available for trading on an alternative trading system. tZERO, through its broker-dealer subsidiaries, democratizes access to private assets by providing a simple, automated, and efficient trading venue to broker-dealers, institutions, and investors. All technology services are offered through tZERO Technologies, LLC. For more information, please visit our </w:t>
      </w:r>
      <w:hyperlink r:id="rId11">
        <w:r w:rsidDel="00000000" w:rsidR="00000000" w:rsidRPr="00000000">
          <w:rPr>
            <w:sz w:val="20"/>
            <w:szCs w:val="20"/>
            <w:u w:val="single"/>
            <w:rtl w:val="0"/>
          </w:rPr>
          <w:t xml:space="preserve">website</w:t>
        </w:r>
      </w:hyperlink>
      <w:r w:rsidDel="00000000" w:rsidR="00000000" w:rsidRPr="00000000">
        <w:rPr>
          <w:sz w:val="20"/>
          <w:szCs w:val="20"/>
          <w:rtl w:val="0"/>
        </w:rPr>
        <w:t xml:space="preserve">.</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Forward-Looking Statements by tZERO</w:t>
      </w:r>
    </w:p>
    <w:p w:rsidR="00000000" w:rsidDel="00000000" w:rsidP="00000000" w:rsidRDefault="00000000" w:rsidRPr="00000000" w14:paraId="0000001D">
      <w:pPr>
        <w:rPr>
          <w:sz w:val="20"/>
          <w:szCs w:val="20"/>
        </w:rPr>
      </w:pPr>
      <w:r w:rsidDel="00000000" w:rsidR="00000000" w:rsidRPr="00000000">
        <w:rPr>
          <w:sz w:val="20"/>
          <w:szCs w:val="20"/>
          <w:rtl w:val="0"/>
        </w:rPr>
        <w:t xml:space="preserve">This release contains forward-looking statements. In addition, from time to time, tZERO, its subsidiaries, or its representatives may make forward-looking statements orally or in writing. These forward-looking statements are based on expectations and projections about future events, which is derived from currently available information. Such forward-looking statements relate to future events or future performance, including financial performance and projections; growth in revenue and earnings; and business prospects and opportunities. You can identify forward-looking statements by those that are not historical in nature, particularly those that use terminology such as “may,” “should,” “expects,” “anticipates,” “contemplates,” “estimates,” “believes,” “plans,” “projected,” “predicts,” “potential,” or “hopes” or the negative of these or similar terms. In evaluating these forward-looking statements, you should consider various factors, including, without limitation: the ability of tZERO and its subsidiaries to change the direction; tZERO’s ability to keep pace with new technology and changing market needs; performance of individual transactions; regulatory developments and matters; and competition. These and other factors may cause actual results to differ materially from any forward-looking statement. Forward-looking statements are only predictions. The forward-looking events discussed in this release and other statements made from time to time by tZERO, its subsidiaries or their respective representatives, may not occur, and actual events and results may differ materially and are subject to risks, uncertainties and assumptions. tZERO, its subsidiaries, and its representatives are not obligated to publicly update or revise any forward-looking statement, whether as a result of uncertainties and assumptions, the forward-looking events discussed in this release and other statements made from time to time by tZERO, its subsidiaries or its representatives might not occur.</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r.report/80en" TargetMode="External"/><Relationship Id="rId10" Type="http://schemas.openxmlformats.org/officeDocument/2006/relationships/hyperlink" Target="https://c212.net/c/link/?t=0&amp;l=en&amp;o=4249936-1&amp;h=946472653&amp;u=https%3A%2F%2Fpr.report%2F8SykYXO6&amp;a=tZERO+Group%2C+Inc." TargetMode="External"/><Relationship Id="rId9" Type="http://schemas.openxmlformats.org/officeDocument/2006/relationships/hyperlink" Target="mailto:jros@tzer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zer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hRVw0hlcVmO7BZumQJnSm3mUg==">CgMxLjA4AGomChRzdWdnZXN0LjlrNWhuaGQyNWhxNRIOQWxleCBWbGFzdGFraXNqJgoUc3VnZ2VzdC5qbnVmd2JqeTZybHISDkFsZXggVmxhc3Rha2lzaiYKFHN1Z2dlc3QuN3N4dmprczVxcjZnEg5BbGV4IFZsYXN0YWtpc2omChRzdWdnZXN0LjZybnU1b2ZyY293eBIOQWxleCBWbGFzdGFraXNyITF3aFRjUlZqRFhveDlWdXBvZHp6cllZV2hSYjJrTTl3TQ==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