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C70A1" w14:textId="77777777" w:rsidR="00781751" w:rsidRDefault="00D11CC7">
      <w:pPr>
        <w:spacing w:before="1440" w:after="200"/>
        <w:jc w:val="center"/>
      </w:pPr>
      <w:r>
        <w:rPr>
          <w:b/>
          <w:bCs/>
          <w:caps/>
          <w:color w:val="0E7C7B"/>
          <w:sz w:val="56"/>
          <w:szCs w:val="56"/>
        </w:rPr>
        <w:t>LIQUIDITY.IO</w:t>
      </w:r>
    </w:p>
    <w:p w14:paraId="54098217" w14:textId="77777777" w:rsidR="00781751" w:rsidRDefault="00D11CC7">
      <w:pPr>
        <w:spacing w:after="800"/>
        <w:jc w:val="center"/>
      </w:pPr>
      <w:r>
        <w:rPr>
          <w:caps/>
          <w:color w:val="0A2342"/>
          <w:sz w:val="26"/>
          <w:szCs w:val="26"/>
        </w:rPr>
        <w:t>EXECUTIVE BRIEFING PAPER</w:t>
      </w:r>
    </w:p>
    <w:p w14:paraId="0BD08FA4" w14:textId="77777777" w:rsidR="00781751" w:rsidRDefault="00D11CC7">
      <w:pPr>
        <w:pBdr>
          <w:top w:val="single" w:sz="4" w:space="10" w:color="0E7C7B"/>
        </w:pBdr>
        <w:spacing w:before="200" w:after="160"/>
        <w:jc w:val="center"/>
      </w:pPr>
      <w:r>
        <w:rPr>
          <w:b/>
          <w:bCs/>
          <w:color w:val="0A2342"/>
          <w:sz w:val="36"/>
          <w:szCs w:val="36"/>
        </w:rPr>
        <w:t>Digitizing Both Sides of the Balance Sheet:</w:t>
      </w:r>
    </w:p>
    <w:p w14:paraId="5B232D8A" w14:textId="77777777" w:rsidR="00781751" w:rsidRDefault="00D11CC7">
      <w:pPr>
        <w:spacing w:after="160"/>
        <w:jc w:val="center"/>
      </w:pPr>
      <w:r>
        <w:rPr>
          <w:b/>
          <w:bCs/>
          <w:color w:val="1A5EA8"/>
          <w:sz w:val="28"/>
          <w:szCs w:val="28"/>
        </w:rPr>
        <w:t>Tokenized Collateral, Stablecoin Settlement,</w:t>
      </w:r>
    </w:p>
    <w:p w14:paraId="6F96F25A" w14:textId="77777777" w:rsidR="00781751" w:rsidRDefault="00D11CC7">
      <w:pPr>
        <w:pBdr>
          <w:bottom w:val="single" w:sz="4" w:space="10" w:color="0E7C7B"/>
        </w:pBdr>
        <w:spacing w:after="200"/>
        <w:jc w:val="center"/>
      </w:pPr>
      <w:r>
        <w:rPr>
          <w:b/>
          <w:bCs/>
          <w:color w:val="1A5EA8"/>
          <w:sz w:val="28"/>
          <w:szCs w:val="28"/>
        </w:rPr>
        <w:t>and the Future of Institutional Credit</w:t>
      </w:r>
    </w:p>
    <w:p w14:paraId="0CDC6421" w14:textId="77777777" w:rsidR="00781751" w:rsidRDefault="00D11CC7">
      <w:pPr>
        <w:spacing w:before="800" w:after="120"/>
        <w:jc w:val="center"/>
      </w:pPr>
      <w:r>
        <w:rPr>
          <w:i/>
          <w:iCs/>
          <w:color w:val="0A2342"/>
        </w:rPr>
        <w:t>Prepared for:</w:t>
      </w:r>
    </w:p>
    <w:p w14:paraId="7DF9FC02" w14:textId="77777777" w:rsidR="00781751" w:rsidRDefault="00D11CC7">
      <w:pPr>
        <w:spacing w:after="120"/>
        <w:jc w:val="center"/>
      </w:pPr>
      <w:r>
        <w:rPr>
          <w:b/>
          <w:bCs/>
          <w:sz w:val="21"/>
          <w:szCs w:val="21"/>
        </w:rPr>
        <w:t xml:space="preserve">Institutional </w:t>
      </w:r>
      <w:proofErr w:type="gramStart"/>
      <w:r>
        <w:rPr>
          <w:b/>
          <w:bCs/>
          <w:sz w:val="21"/>
          <w:szCs w:val="21"/>
        </w:rPr>
        <w:t>Investors  |</w:t>
      </w:r>
      <w:proofErr w:type="gramEnd"/>
      <w:r>
        <w:rPr>
          <w:b/>
          <w:bCs/>
          <w:sz w:val="21"/>
          <w:szCs w:val="21"/>
        </w:rPr>
        <w:t xml:space="preserve">  Custodian Banks  |  Regional Bank CFOs &amp; Treasury Officers</w:t>
      </w:r>
    </w:p>
    <w:p w14:paraId="7A45D781" w14:textId="77777777" w:rsidR="00781751" w:rsidRDefault="00D11CC7">
      <w:pPr>
        <w:spacing w:before="200"/>
        <w:jc w:val="center"/>
      </w:pPr>
      <w:proofErr w:type="gramStart"/>
      <w:r>
        <w:rPr>
          <w:color w:val="D0D7E2"/>
          <w:sz w:val="20"/>
          <w:szCs w:val="20"/>
        </w:rPr>
        <w:t>2026  |</w:t>
      </w:r>
      <w:proofErr w:type="gramEnd"/>
      <w:r>
        <w:rPr>
          <w:color w:val="D0D7E2"/>
          <w:sz w:val="20"/>
          <w:szCs w:val="20"/>
        </w:rPr>
        <w:t xml:space="preserve">  Liquidity.io</w:t>
      </w:r>
    </w:p>
    <w:p w14:paraId="64695697" w14:textId="77777777" w:rsidR="00781751" w:rsidRDefault="00781751">
      <w:pPr>
        <w:sectPr w:rsidR="00781751">
          <w:pgSz w:w="12240" w:h="15840"/>
          <w:pgMar w:top="1260" w:right="1260" w:bottom="1260" w:left="1260" w:header="708" w:footer="708" w:gutter="0"/>
          <w:cols w:space="720"/>
          <w:docGrid w:linePitch="360"/>
        </w:sectPr>
      </w:pPr>
    </w:p>
    <w:p w14:paraId="382BB9E5" w14:textId="77777777" w:rsidR="00781751" w:rsidRDefault="00D11CC7">
      <w:pPr>
        <w:pBdr>
          <w:bottom w:val="single" w:sz="4" w:space="6" w:color="0E7C7B"/>
        </w:pBdr>
        <w:spacing w:before="480" w:after="160"/>
      </w:pPr>
      <w:r>
        <w:rPr>
          <w:b/>
          <w:bCs/>
          <w:caps/>
          <w:color w:val="0A2342"/>
          <w:sz w:val="30"/>
          <w:szCs w:val="30"/>
        </w:rPr>
        <w:t>Executive Summary</w:t>
      </w:r>
    </w:p>
    <w:p w14:paraId="00875445" w14:textId="77777777" w:rsidR="00781751" w:rsidRDefault="00D11CC7">
      <w:pPr>
        <w:spacing w:before="120" w:after="120"/>
        <w:jc w:val="both"/>
      </w:pPr>
      <w:r>
        <w:t>The financial system has successfully digitized money. Stablecoins now allow cash settlement to move as a programmable, auditable, interoperable digital object — 24 hours a day, seven days a week. That is historic progress.</w:t>
      </w:r>
    </w:p>
    <w:p w14:paraId="62B898E1" w14:textId="77777777" w:rsidR="00781751" w:rsidRDefault="00781751">
      <w:pPr>
        <w:spacing w:after="80"/>
      </w:pPr>
    </w:p>
    <w:p w14:paraId="5ECDEA52" w14:textId="77777777" w:rsidR="00781751" w:rsidRDefault="00D11CC7">
      <w:pPr>
        <w:spacing w:before="120" w:after="120"/>
        <w:jc w:val="both"/>
      </w:pPr>
      <w:r>
        <w:t>But collateral — the asset side of the balance sheet that underpins every warehouse line, structured security, and repo transaction in institutional finance — has not followed. The result is a structural asymmetry: twenty-first-century payments meeting twentieth-century asset infrastructure.</w:t>
      </w:r>
    </w:p>
    <w:p w14:paraId="1CA33763" w14:textId="77777777" w:rsidR="00781751" w:rsidRDefault="00781751">
      <w:pPr>
        <w:spacing w:after="80"/>
      </w:pPr>
    </w:p>
    <w:p w14:paraId="3C90A483" w14:textId="77777777" w:rsidR="00781751" w:rsidRDefault="00D11CC7">
      <w:pPr>
        <w:pBdr>
          <w:left w:val="thick" w:sz="12" w:space="8" w:color="0E7C7B"/>
        </w:pBdr>
        <w:shd w:val="clear" w:color="auto" w:fill="E8F0FA"/>
        <w:spacing w:before="200" w:after="200"/>
        <w:ind w:left="560" w:right="560"/>
      </w:pPr>
      <w:r>
        <w:rPr>
          <w:i/>
          <w:iCs/>
          <w:color w:val="0A2342"/>
        </w:rPr>
        <w:t>Liquidity.io exists to close that gap. Our platform digitizes, tokenizes, and settles real-world credit assets — beginning with auto loan receivables — for regulated financial institutions, on regulated infrastructure, within existing legal and compliance frameworks.</w:t>
      </w:r>
    </w:p>
    <w:p w14:paraId="1403FD60" w14:textId="77777777" w:rsidR="00781751" w:rsidRDefault="00781751">
      <w:pPr>
        <w:spacing w:after="80"/>
      </w:pPr>
    </w:p>
    <w:p w14:paraId="781BFFCC" w14:textId="77777777" w:rsidR="00781751" w:rsidRDefault="00D11CC7">
      <w:pPr>
        <w:spacing w:before="120" w:after="120"/>
        <w:jc w:val="both"/>
      </w:pPr>
      <w:r>
        <w:t>This paper makes the case that tokenized collateral is not a speculative concept or a regulatory gray zone. It is a legally sound, GAAP-supportable, operationally proven infrastructure upgrade that delivers measurable economic benefits to every participant in the credit value chain.</w:t>
      </w:r>
    </w:p>
    <w:p w14:paraId="65313097" w14:textId="77777777" w:rsidR="00781751" w:rsidRDefault="00781751">
      <w:pPr>
        <w:spacing w:after="80"/>
      </w:pPr>
    </w:p>
    <w:p w14:paraId="2B21F7E2" w14:textId="77777777" w:rsidR="00781751" w:rsidRDefault="00D11CC7">
      <w:pPr>
        <w:spacing w:before="320" w:after="120"/>
      </w:pPr>
      <w:r>
        <w:rPr>
          <w:b/>
          <w:bCs/>
          <w:color w:val="1A5EA8"/>
          <w:sz w:val="24"/>
          <w:szCs w:val="24"/>
        </w:rPr>
        <w:t>Key Findings</w:t>
      </w:r>
    </w:p>
    <w:p w14:paraId="512F6993" w14:textId="77777777" w:rsidR="00781751" w:rsidRDefault="00D11CC7">
      <w:pPr>
        <w:spacing w:before="80" w:after="80"/>
        <w:ind w:left="480" w:hanging="280"/>
      </w:pPr>
      <w:proofErr w:type="gramStart"/>
      <w:r>
        <w:rPr>
          <w:color w:val="0E7C7B"/>
          <w:sz w:val="20"/>
          <w:szCs w:val="20"/>
        </w:rPr>
        <w:t xml:space="preserve">◆  </w:t>
      </w:r>
      <w:r>
        <w:t>The</w:t>
      </w:r>
      <w:proofErr w:type="gramEnd"/>
      <w:r>
        <w:t xml:space="preserve"> opacity premium embedded in private credit spreads is eliminable through real-time, on-chain asset data. Spread compression of 50–100 basis points </w:t>
      </w:r>
      <w:proofErr w:type="gramStart"/>
      <w:r>
        <w:t>is</w:t>
      </w:r>
      <w:proofErr w:type="gramEnd"/>
      <w:r>
        <w:t xml:space="preserve"> achievable on verified pools.</w:t>
      </w:r>
    </w:p>
    <w:p w14:paraId="22F20964" w14:textId="77777777" w:rsidR="00781751" w:rsidRDefault="00D11CC7">
      <w:pPr>
        <w:spacing w:before="80" w:after="80"/>
        <w:ind w:left="480" w:hanging="280"/>
      </w:pPr>
      <w:proofErr w:type="gramStart"/>
      <w:r>
        <w:rPr>
          <w:color w:val="0E7C7B"/>
          <w:sz w:val="20"/>
          <w:szCs w:val="20"/>
        </w:rPr>
        <w:t xml:space="preserve">◆  </w:t>
      </w:r>
      <w:r>
        <w:t>Tokenized</w:t>
      </w:r>
      <w:proofErr w:type="gramEnd"/>
      <w:r>
        <w:t xml:space="preserve"> auto loan receivables are legally equivalent to paper-perfected pledges under UCC Article 12. The blockchain is the registry. The law is the law.</w:t>
      </w:r>
    </w:p>
    <w:p w14:paraId="3A5F04C4" w14:textId="77777777" w:rsidR="00781751" w:rsidRDefault="00D11CC7">
      <w:pPr>
        <w:spacing w:before="80" w:after="80"/>
        <w:ind w:left="480" w:hanging="280"/>
      </w:pPr>
      <w:proofErr w:type="gramStart"/>
      <w:r>
        <w:rPr>
          <w:color w:val="0E7C7B"/>
          <w:sz w:val="20"/>
          <w:szCs w:val="20"/>
        </w:rPr>
        <w:t xml:space="preserve">◆  </w:t>
      </w:r>
      <w:r>
        <w:t>Under</w:t>
      </w:r>
      <w:proofErr w:type="gramEnd"/>
      <w:r>
        <w:t xml:space="preserve"> ASC 310, tokenized receivables represent contractual rights to cash flows collateralized by identifiable assets. Existing GAAP principles support recognition — what is absent is FASB practice guidance, not accounting principle.</w:t>
      </w:r>
    </w:p>
    <w:p w14:paraId="6A4698F6" w14:textId="77777777" w:rsidR="00781751" w:rsidRDefault="00D11CC7">
      <w:pPr>
        <w:spacing w:before="80" w:after="80"/>
        <w:ind w:left="480" w:hanging="280"/>
      </w:pPr>
      <w:proofErr w:type="gramStart"/>
      <w:r>
        <w:rPr>
          <w:color w:val="0E7C7B"/>
          <w:sz w:val="20"/>
          <w:szCs w:val="20"/>
        </w:rPr>
        <w:t xml:space="preserve">◆  </w:t>
      </w:r>
      <w:r>
        <w:t>A</w:t>
      </w:r>
      <w:proofErr w:type="gramEnd"/>
      <w:r>
        <w:t xml:space="preserve"> $500M warehouse lender originating $2B annually loses an estimated $6.13M per year to settlement latency and stranded collateral. Tokenization recovers that value entirely.</w:t>
      </w:r>
    </w:p>
    <w:p w14:paraId="3166F354" w14:textId="77777777" w:rsidR="00781751" w:rsidRDefault="00D11CC7">
      <w:pPr>
        <w:spacing w:before="80" w:after="80"/>
        <w:ind w:left="480" w:hanging="280"/>
      </w:pPr>
      <w:proofErr w:type="gramStart"/>
      <w:r>
        <w:rPr>
          <w:color w:val="0E7C7B"/>
          <w:sz w:val="20"/>
          <w:szCs w:val="20"/>
        </w:rPr>
        <w:t xml:space="preserve">◆  </w:t>
      </w:r>
      <w:r>
        <w:t>Custodians</w:t>
      </w:r>
      <w:proofErr w:type="gramEnd"/>
      <w:r>
        <w:t xml:space="preserve"> that build operational capacity for digital RWA custody are capturing a new product line in a private credit market projected to exceed $3 trillion by decade's end.</w:t>
      </w:r>
    </w:p>
    <w:p w14:paraId="5591AED0" w14:textId="77777777" w:rsidR="00781751" w:rsidRDefault="00781751">
      <w:pPr>
        <w:spacing w:after="80"/>
      </w:pPr>
    </w:p>
    <w:p w14:paraId="50EC3E79" w14:textId="77777777" w:rsidR="00781751" w:rsidRDefault="00D11CC7">
      <w:pPr>
        <w:spacing w:before="120" w:after="120"/>
        <w:jc w:val="both"/>
      </w:pPr>
      <w:proofErr w:type="spellStart"/>
      <w:r>
        <w:t>Liquidity.io's</w:t>
      </w:r>
      <w:proofErr w:type="spellEnd"/>
      <w:r>
        <w:t xml:space="preserve"> infrastructure is live in production. Automatic USA is originating real loans that settle instantly via Liquidity USDL stablecoin — not as a pilot, but as standard operating procedure.</w:t>
      </w:r>
    </w:p>
    <w:p w14:paraId="12258ACA" w14:textId="77777777" w:rsidR="00781751" w:rsidRDefault="00781751">
      <w:pPr>
        <w:pBdr>
          <w:bottom w:val="single" w:sz="2" w:space="4" w:color="D0D7E2"/>
        </w:pBdr>
        <w:spacing w:before="160" w:after="160"/>
      </w:pPr>
    </w:p>
    <w:p w14:paraId="392DA08B" w14:textId="77777777" w:rsidR="00F417A9" w:rsidRDefault="00F417A9">
      <w:pPr>
        <w:pBdr>
          <w:bottom w:val="single" w:sz="2" w:space="4" w:color="D0D7E2"/>
        </w:pBdr>
        <w:spacing w:before="160" w:after="160"/>
      </w:pPr>
    </w:p>
    <w:p w14:paraId="68F7581A" w14:textId="77777777" w:rsidR="00F417A9" w:rsidRDefault="00F417A9">
      <w:pPr>
        <w:pBdr>
          <w:bottom w:val="single" w:sz="2" w:space="4" w:color="D0D7E2"/>
        </w:pBdr>
        <w:spacing w:before="160" w:after="160"/>
      </w:pPr>
    </w:p>
    <w:p w14:paraId="20227E9A" w14:textId="77777777" w:rsidR="00F417A9" w:rsidRDefault="00F417A9">
      <w:pPr>
        <w:pBdr>
          <w:bottom w:val="single" w:sz="2" w:space="4" w:color="D0D7E2"/>
        </w:pBdr>
        <w:spacing w:before="160" w:after="160"/>
      </w:pPr>
    </w:p>
    <w:p w14:paraId="7ABB7A29" w14:textId="77777777" w:rsidR="00F417A9" w:rsidRDefault="00F417A9">
      <w:pPr>
        <w:pBdr>
          <w:bottom w:val="single" w:sz="2" w:space="4" w:color="D0D7E2"/>
        </w:pBdr>
        <w:spacing w:before="160" w:after="160"/>
      </w:pPr>
    </w:p>
    <w:p w14:paraId="454A3143" w14:textId="77777777" w:rsidR="00781751" w:rsidRDefault="00D11CC7">
      <w:pPr>
        <w:pBdr>
          <w:bottom w:val="single" w:sz="4" w:space="6" w:color="0E7C7B"/>
        </w:pBdr>
        <w:spacing w:before="480" w:after="160"/>
      </w:pPr>
      <w:r>
        <w:rPr>
          <w:b/>
          <w:bCs/>
          <w:caps/>
          <w:color w:val="0A2342"/>
          <w:sz w:val="30"/>
          <w:szCs w:val="30"/>
        </w:rPr>
        <w:t>1.  The Problem: The Missing Half of Digitization</w:t>
      </w:r>
    </w:p>
    <w:p w14:paraId="4A50B4ED" w14:textId="77777777" w:rsidR="00781751" w:rsidRDefault="00D11CC7">
      <w:pPr>
        <w:spacing w:before="120" w:after="120"/>
        <w:jc w:val="both"/>
      </w:pPr>
      <w:r>
        <w:t xml:space="preserve">Every credit transaction has two sides. On the liability side sits cash — the payment obligation. On the asset side sits collateral — the receivable or lien that secures it. For the past decade, fintech and institutional infrastructure have invested heavily in digitizing the liability side. Stablecoins, digital payment rails, programmable settlement — </w:t>
      </w:r>
      <w:proofErr w:type="gramStart"/>
      <w:r>
        <w:t>all of</w:t>
      </w:r>
      <w:proofErr w:type="gramEnd"/>
      <w:r>
        <w:t xml:space="preserve"> these innovations address how money moves.</w:t>
      </w:r>
    </w:p>
    <w:p w14:paraId="1539BCEB" w14:textId="77777777" w:rsidR="00781751" w:rsidRDefault="00781751">
      <w:pPr>
        <w:spacing w:after="80"/>
      </w:pPr>
    </w:p>
    <w:p w14:paraId="63114E86" w14:textId="77777777" w:rsidR="00781751" w:rsidRDefault="00D11CC7">
      <w:pPr>
        <w:spacing w:before="120" w:after="120"/>
        <w:jc w:val="both"/>
      </w:pPr>
      <w:r>
        <w:t>The asset side has been left behind.</w:t>
      </w:r>
    </w:p>
    <w:p w14:paraId="29FE4BA3" w14:textId="77777777" w:rsidR="00781751" w:rsidRDefault="00781751">
      <w:pPr>
        <w:spacing w:after="80"/>
      </w:pPr>
    </w:p>
    <w:p w14:paraId="1BA887B4" w14:textId="77777777" w:rsidR="00781751" w:rsidRDefault="00D11CC7">
      <w:pPr>
        <w:spacing w:before="120" w:after="120"/>
        <w:jc w:val="both"/>
      </w:pPr>
      <w:r>
        <w:t xml:space="preserve">Today, a warehouse lender extending a revolving credit facility to an auto originator cannot see — in real time — what collateral backs that line. They rely on monthly borrowing base certificates, manually compiled by the originator, attested by an auditor, and delivered days after the reporting period ends. That is the information infrastructure underpinning trillions of dollars of credit exposure. It is extraordinary, when you step back, how much systemic risk is managed </w:t>
      </w:r>
      <w:proofErr w:type="gramStart"/>
      <w:r>
        <w:t>on the basis of</w:t>
      </w:r>
      <w:proofErr w:type="gramEnd"/>
      <w:r>
        <w:t xml:space="preserve"> lagged, manually produced data.</w:t>
      </w:r>
    </w:p>
    <w:p w14:paraId="2B6AD5EA" w14:textId="77777777" w:rsidR="00781751" w:rsidRDefault="00781751">
      <w:pPr>
        <w:spacing w:after="80"/>
      </w:pPr>
    </w:p>
    <w:p w14:paraId="3C9D3D76" w14:textId="77777777" w:rsidR="00781751" w:rsidRDefault="00D11CC7">
      <w:pPr>
        <w:spacing w:before="120" w:after="120"/>
        <w:jc w:val="both"/>
      </w:pPr>
      <w:r>
        <w:t>The cost of this gap is not just operational. It is embedded in the spread. The opacity premium — the additional yield investors demand to compensate for information they cannot see — is a permanent tax on credit origination. Every basis point of spread driven by uncertainty rather than actual credit risk harms the originator, the investor, and ultimately the borrower.</w:t>
      </w:r>
    </w:p>
    <w:p w14:paraId="774BAE55" w14:textId="77777777" w:rsidR="00781751" w:rsidRDefault="00781751">
      <w:pPr>
        <w:spacing w:after="80"/>
      </w:pPr>
    </w:p>
    <w:p w14:paraId="2D6BE43F" w14:textId="77777777" w:rsidR="00781751" w:rsidRDefault="00D11CC7">
      <w:pPr>
        <w:pBdr>
          <w:left w:val="thick" w:sz="12" w:space="8" w:color="0E7C7B"/>
        </w:pBdr>
        <w:shd w:val="clear" w:color="auto" w:fill="E8F0FA"/>
        <w:spacing w:before="200" w:after="200"/>
        <w:ind w:left="560" w:right="560"/>
      </w:pPr>
      <w:r>
        <w:rPr>
          <w:i/>
          <w:iCs/>
          <w:color w:val="0A2342"/>
        </w:rPr>
        <w:t>Eliminating opacity is not a side benefit of tokenization. It is the central value proposition.</w:t>
      </w:r>
    </w:p>
    <w:p w14:paraId="1F2017FC" w14:textId="77777777" w:rsidR="00781751" w:rsidRDefault="00781751">
      <w:pPr>
        <w:spacing w:after="80"/>
      </w:pPr>
    </w:p>
    <w:p w14:paraId="2D44E2E2" w14:textId="77777777" w:rsidR="00781751" w:rsidRDefault="00D11CC7">
      <w:pPr>
        <w:spacing w:before="320" w:after="120"/>
      </w:pPr>
      <w:proofErr w:type="gramStart"/>
      <w:r>
        <w:rPr>
          <w:b/>
          <w:bCs/>
          <w:color w:val="1A5EA8"/>
          <w:sz w:val="24"/>
          <w:szCs w:val="24"/>
        </w:rPr>
        <w:t>1.1  The</w:t>
      </w:r>
      <w:proofErr w:type="gramEnd"/>
      <w:r>
        <w:rPr>
          <w:b/>
          <w:bCs/>
          <w:color w:val="1A5EA8"/>
          <w:sz w:val="24"/>
          <w:szCs w:val="24"/>
        </w:rPr>
        <w:t xml:space="preserve"> Structural Fraud Risk</w:t>
      </w:r>
    </w:p>
    <w:p w14:paraId="46C0C4C1" w14:textId="77777777" w:rsidR="00781751" w:rsidRDefault="00D11CC7">
      <w:pPr>
        <w:spacing w:before="120" w:after="120"/>
        <w:jc w:val="both"/>
      </w:pPr>
      <w:r>
        <w:t>The Tricolor Holdings case, prosecuted by federal authorities, illustrates the systemic vulnerability precisely. According to the indictment, Tricolor pledged approximately $2.2 billion in loans against only $1.4 billion in actual receivables — roughly $800 million in over-pledging executed by duplicating vehicle titles and falsifying documentation. Each lender believed it held perfected collateral. None did. The fraud was not discovered through better oversight. It was discovered through collapse.</w:t>
      </w:r>
    </w:p>
    <w:p w14:paraId="6C48F2FB" w14:textId="77777777" w:rsidR="00781751" w:rsidRDefault="00781751">
      <w:pPr>
        <w:spacing w:after="80"/>
      </w:pPr>
    </w:p>
    <w:p w14:paraId="459E8357" w14:textId="77777777" w:rsidR="00781751" w:rsidRDefault="00D11CC7">
      <w:pPr>
        <w:spacing w:before="120" w:after="120"/>
        <w:jc w:val="both"/>
      </w:pPr>
      <w:r>
        <w:t>Tricolor is not an isolated case. Across the history of asset-backed finance, the most damaging fraud cases share a common thread: not sophisticated cyberattacks, but basic collateral duplication enabled by siloed record-keeping. The same receivable pledged twice. The same vehicle title photocopied and filed separately.</w:t>
      </w:r>
    </w:p>
    <w:p w14:paraId="6D2179B1" w14:textId="77777777" w:rsidR="00781751" w:rsidRDefault="0078175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751" w14:paraId="42788DC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4F6F9"/>
            <w:tcMar>
              <w:top w:w="240" w:type="dxa"/>
              <w:left w:w="360" w:type="dxa"/>
              <w:bottom w:w="240" w:type="dxa"/>
              <w:right w:w="360" w:type="dxa"/>
            </w:tcMar>
          </w:tcPr>
          <w:p w14:paraId="38467A61" w14:textId="77777777" w:rsidR="00781751" w:rsidRDefault="00D11CC7">
            <w:pPr>
              <w:spacing w:before="80" w:after="120"/>
            </w:pPr>
            <w:r>
              <w:rPr>
                <w:b/>
                <w:bCs/>
                <w:color w:val="0A2342"/>
              </w:rPr>
              <w:t>The Structural Gap in One Sentence</w:t>
            </w:r>
          </w:p>
          <w:p w14:paraId="02D1B77B" w14:textId="77777777" w:rsidR="00781751" w:rsidRDefault="00D11CC7">
            <w:pPr>
              <w:spacing w:after="80"/>
            </w:pPr>
            <w:r>
              <w:t>There is no mechanism — absent a shared ledger — that prevents the same asset from being pledged to two counterparties simultaneously. In a world of fragmented ledgers, verification is always local. Fraud is always global.</w:t>
            </w:r>
          </w:p>
        </w:tc>
      </w:tr>
    </w:tbl>
    <w:p w14:paraId="25E4BA15" w14:textId="77777777" w:rsidR="00781751" w:rsidRDefault="00781751">
      <w:pPr>
        <w:spacing w:after="80"/>
      </w:pPr>
    </w:p>
    <w:p w14:paraId="52C3827B" w14:textId="77777777" w:rsidR="00781751" w:rsidRDefault="00781751">
      <w:pPr>
        <w:pBdr>
          <w:bottom w:val="single" w:sz="2" w:space="4" w:color="D0D7E2"/>
        </w:pBdr>
        <w:spacing w:before="160" w:after="160"/>
      </w:pPr>
    </w:p>
    <w:p w14:paraId="31719422" w14:textId="77777777" w:rsidR="00781751" w:rsidRDefault="00D11CC7">
      <w:pPr>
        <w:pBdr>
          <w:bottom w:val="single" w:sz="4" w:space="6" w:color="0E7C7B"/>
        </w:pBdr>
        <w:spacing w:before="480" w:after="160"/>
      </w:pPr>
      <w:r>
        <w:rPr>
          <w:b/>
          <w:bCs/>
          <w:caps/>
          <w:color w:val="0A2342"/>
          <w:sz w:val="30"/>
          <w:szCs w:val="30"/>
        </w:rPr>
        <w:t>2.  The Solution: Institutional Tokenization</w:t>
      </w:r>
    </w:p>
    <w:p w14:paraId="6D4CA1F5" w14:textId="77777777" w:rsidR="00781751" w:rsidRDefault="00D11CC7">
      <w:pPr>
        <w:spacing w:before="120" w:after="120"/>
        <w:jc w:val="both"/>
      </w:pPr>
      <w:r>
        <w:t>Institutional tokenization gives each real-world asset — each loan, each receivable, each piece of collateral — a cryptographically secure, legally compliant digital identity that cannot be duplicated, altered, or hidden. Three architectural properties define what it delivers.</w:t>
      </w:r>
    </w:p>
    <w:p w14:paraId="2FEE2A64" w14:textId="77777777" w:rsidR="00781751" w:rsidRDefault="00781751">
      <w:pPr>
        <w:spacing w:after="80"/>
      </w:pPr>
    </w:p>
    <w:p w14:paraId="5EDD17DE" w14:textId="77777777" w:rsidR="00781751" w:rsidRDefault="00D11CC7">
      <w:pPr>
        <w:spacing w:before="320" w:after="120"/>
      </w:pPr>
      <w:proofErr w:type="gramStart"/>
      <w:r>
        <w:rPr>
          <w:b/>
          <w:bCs/>
          <w:color w:val="1A5EA8"/>
          <w:sz w:val="24"/>
          <w:szCs w:val="24"/>
        </w:rPr>
        <w:t>2.1  Uniqueness</w:t>
      </w:r>
      <w:proofErr w:type="gramEnd"/>
      <w:r>
        <w:rPr>
          <w:b/>
          <w:bCs/>
          <w:color w:val="1A5EA8"/>
          <w:sz w:val="24"/>
          <w:szCs w:val="24"/>
        </w:rPr>
        <w:t xml:space="preserve"> — Eliminating Double-Pledging</w:t>
      </w:r>
    </w:p>
    <w:p w14:paraId="62E97BCF" w14:textId="77777777" w:rsidR="00781751" w:rsidRDefault="00D11CC7">
      <w:pPr>
        <w:spacing w:before="120" w:after="120"/>
        <w:jc w:val="both"/>
      </w:pPr>
      <w:r>
        <w:t>Each tokenized asset exists once. Not as copies in disconnected databases, but as a single verifiable token on a shared ledger. Any attempt to pledge the same collateral twice is mathematically rejected by the network. This is not a policy control. It is an architectural guarantee — as absolute as the impossibility of duplicating a cryptographic key while leaving the original intact.</w:t>
      </w:r>
    </w:p>
    <w:p w14:paraId="323F9E13" w14:textId="77777777" w:rsidR="00781751" w:rsidRDefault="00781751">
      <w:pPr>
        <w:spacing w:after="80"/>
      </w:pPr>
    </w:p>
    <w:p w14:paraId="4DA00BA1" w14:textId="77777777" w:rsidR="00781751" w:rsidRDefault="00D11CC7">
      <w:pPr>
        <w:spacing w:before="320" w:after="120"/>
      </w:pPr>
      <w:proofErr w:type="gramStart"/>
      <w:r>
        <w:rPr>
          <w:b/>
          <w:bCs/>
          <w:color w:val="1A5EA8"/>
          <w:sz w:val="24"/>
          <w:szCs w:val="24"/>
        </w:rPr>
        <w:t>2.2  Atomic</w:t>
      </w:r>
      <w:proofErr w:type="gramEnd"/>
      <w:r>
        <w:rPr>
          <w:b/>
          <w:bCs/>
          <w:color w:val="1A5EA8"/>
          <w:sz w:val="24"/>
          <w:szCs w:val="24"/>
        </w:rPr>
        <w:t xml:space="preserve"> Settlement — Eliminating Counterparty Exposure</w:t>
      </w:r>
    </w:p>
    <w:p w14:paraId="0FEAF955" w14:textId="77777777" w:rsidR="00781751" w:rsidRDefault="00D11CC7">
      <w:pPr>
        <w:spacing w:before="120" w:after="120"/>
        <w:jc w:val="both"/>
      </w:pPr>
      <w:r>
        <w:t>The transfer of ownership and the transfer of value occur simultaneously. Both legs complete, or neither does. There is no settlement window, no exposure period, no risk that one leg of a transaction clears while the other fails. In a traditional structured finance transaction, settlement takes two to five business days — a window during which both parties carry counterparty exposure. Atomic settlement eliminates that window entirely.</w:t>
      </w:r>
    </w:p>
    <w:p w14:paraId="446BDD30" w14:textId="77777777" w:rsidR="00781751" w:rsidRDefault="00781751">
      <w:pPr>
        <w:spacing w:after="80"/>
      </w:pPr>
    </w:p>
    <w:p w14:paraId="791153D3" w14:textId="77777777" w:rsidR="00781751" w:rsidRDefault="00D11CC7">
      <w:pPr>
        <w:spacing w:before="320" w:after="120"/>
      </w:pPr>
      <w:proofErr w:type="gramStart"/>
      <w:r>
        <w:rPr>
          <w:b/>
          <w:bCs/>
          <w:color w:val="1A5EA8"/>
          <w:sz w:val="24"/>
          <w:szCs w:val="24"/>
        </w:rPr>
        <w:t>2.3  Real</w:t>
      </w:r>
      <w:proofErr w:type="gramEnd"/>
      <w:r>
        <w:rPr>
          <w:b/>
          <w:bCs/>
          <w:color w:val="1A5EA8"/>
          <w:sz w:val="24"/>
          <w:szCs w:val="24"/>
        </w:rPr>
        <w:t>-Time Transparency — Rewiring Risk Management</w:t>
      </w:r>
    </w:p>
    <w:p w14:paraId="28C9BA3E" w14:textId="77777777" w:rsidR="00781751" w:rsidRDefault="00D11CC7">
      <w:pPr>
        <w:spacing w:before="120" w:after="120"/>
        <w:jc w:val="both"/>
      </w:pPr>
      <w:r>
        <w:t xml:space="preserve">Performance data — every payment, prepayment, and delinquency — streams continuously from each tokenized asset. When a borrower begins trending late — three days behind payment pattern — the platform detects it automatically, before any servicer report is compiled. Originators can act earlier. Investors can price portfolios with tighter spreads. Losses decrease. What was post-mortem risk reporting </w:t>
      </w:r>
      <w:proofErr w:type="gramStart"/>
      <w:r>
        <w:t>becomes</w:t>
      </w:r>
      <w:proofErr w:type="gramEnd"/>
      <w:r>
        <w:t xml:space="preserve"> living risk management.</w:t>
      </w:r>
    </w:p>
    <w:p w14:paraId="5DFAA846" w14:textId="77777777" w:rsidR="00781751" w:rsidRDefault="00781751">
      <w:pPr>
        <w:spacing w:after="80"/>
      </w:pPr>
    </w:p>
    <w:p w14:paraId="741677C4" w14:textId="77777777" w:rsidR="00781751" w:rsidRDefault="00D11CC7">
      <w:pPr>
        <w:pBdr>
          <w:left w:val="thick" w:sz="12" w:space="8" w:color="0E7C7B"/>
        </w:pBdr>
        <w:shd w:val="clear" w:color="auto" w:fill="E8F0FA"/>
        <w:spacing w:before="200" w:after="200"/>
        <w:ind w:left="560" w:right="560"/>
      </w:pPr>
      <w:r>
        <w:rPr>
          <w:i/>
          <w:iCs/>
          <w:color w:val="0A2342"/>
        </w:rPr>
        <w:t>When both the stablecoin — the digital cash leg — and the tokenized receivable — the collateral leg — exist on the same ledger, settlement becomes a single, simultaneous, provable event. Not a sequence. Not a process. An act.</w:t>
      </w:r>
    </w:p>
    <w:p w14:paraId="1CFDA173" w14:textId="77777777" w:rsidR="00781751" w:rsidRDefault="00781751">
      <w:pPr>
        <w:spacing w:after="80"/>
      </w:pPr>
    </w:p>
    <w:p w14:paraId="49278D5F" w14:textId="77777777" w:rsidR="00781751" w:rsidRDefault="00781751">
      <w:pPr>
        <w:pBdr>
          <w:bottom w:val="single" w:sz="2" w:space="4" w:color="D0D7E2"/>
        </w:pBdr>
        <w:spacing w:before="160" w:after="160"/>
      </w:pPr>
    </w:p>
    <w:p w14:paraId="0D675220" w14:textId="77777777" w:rsidR="00781751" w:rsidRDefault="00D11CC7">
      <w:pPr>
        <w:pBdr>
          <w:bottom w:val="single" w:sz="4" w:space="6" w:color="0E7C7B"/>
        </w:pBdr>
        <w:spacing w:before="480" w:after="160"/>
      </w:pPr>
      <w:r>
        <w:rPr>
          <w:b/>
          <w:bCs/>
          <w:caps/>
          <w:color w:val="0A2342"/>
          <w:sz w:val="30"/>
          <w:szCs w:val="30"/>
        </w:rPr>
        <w:t>3.  How Liquidity.io Operates</w:t>
      </w:r>
    </w:p>
    <w:p w14:paraId="4FC65C95" w14:textId="77777777" w:rsidR="00781751" w:rsidRDefault="00D11CC7">
      <w:pPr>
        <w:spacing w:before="120" w:after="120"/>
        <w:jc w:val="both"/>
      </w:pPr>
      <w:r>
        <w:t>Every transaction on the Liquidity.io network flows through three integrated layers: Identity, Compliance, and Settlement. Each layer meets existing regulatory requirements, not circumvents them.</w:t>
      </w:r>
    </w:p>
    <w:p w14:paraId="07DA9A7F" w14:textId="77777777" w:rsidR="00781751" w:rsidRDefault="00781751">
      <w:pPr>
        <w:spacing w:after="80"/>
      </w:pPr>
    </w:p>
    <w:p w14:paraId="6865AFDC" w14:textId="77777777" w:rsidR="00781751" w:rsidRDefault="00D11CC7">
      <w:pPr>
        <w:spacing w:before="320" w:after="120"/>
      </w:pPr>
      <w:proofErr w:type="gramStart"/>
      <w:r>
        <w:rPr>
          <w:b/>
          <w:bCs/>
          <w:color w:val="1A5EA8"/>
          <w:sz w:val="24"/>
          <w:szCs w:val="24"/>
        </w:rPr>
        <w:t>3.1  Identity</w:t>
      </w:r>
      <w:proofErr w:type="gramEnd"/>
      <w:r>
        <w:rPr>
          <w:b/>
          <w:bCs/>
          <w:color w:val="1A5EA8"/>
          <w:sz w:val="24"/>
          <w:szCs w:val="24"/>
        </w:rPr>
        <w:t xml:space="preserve"> Layer</w:t>
      </w:r>
    </w:p>
    <w:p w14:paraId="20186DD4" w14:textId="77777777" w:rsidR="00781751" w:rsidRDefault="00D11CC7">
      <w:pPr>
        <w:spacing w:before="80" w:after="80"/>
        <w:ind w:left="480" w:hanging="280"/>
      </w:pPr>
      <w:proofErr w:type="gramStart"/>
      <w:r>
        <w:rPr>
          <w:color w:val="0E7C7B"/>
          <w:sz w:val="20"/>
          <w:szCs w:val="20"/>
        </w:rPr>
        <w:t xml:space="preserve">◆  </w:t>
      </w:r>
      <w:r>
        <w:rPr>
          <w:b/>
          <w:bCs/>
        </w:rPr>
        <w:t>Dealers</w:t>
      </w:r>
      <w:proofErr w:type="gramEnd"/>
      <w:r>
        <w:rPr>
          <w:b/>
          <w:bCs/>
        </w:rPr>
        <w:t xml:space="preserve"> </w:t>
      </w:r>
      <w:r>
        <w:t>complete KYB — legal entity, beneficial ownership, FinCEN CDD compliance. Any entity with more than 25% control is disclosed and credentialed.</w:t>
      </w:r>
    </w:p>
    <w:p w14:paraId="643A2EDD" w14:textId="77777777" w:rsidR="00781751" w:rsidRDefault="00D11CC7">
      <w:pPr>
        <w:spacing w:before="80" w:after="80"/>
        <w:ind w:left="480" w:hanging="280"/>
      </w:pPr>
      <w:proofErr w:type="gramStart"/>
      <w:r>
        <w:rPr>
          <w:color w:val="0E7C7B"/>
          <w:sz w:val="20"/>
          <w:szCs w:val="20"/>
        </w:rPr>
        <w:t xml:space="preserve">◆  </w:t>
      </w:r>
      <w:r>
        <w:rPr>
          <w:b/>
          <w:bCs/>
        </w:rPr>
        <w:t>Borrowers</w:t>
      </w:r>
      <w:proofErr w:type="gramEnd"/>
      <w:r>
        <w:rPr>
          <w:b/>
          <w:bCs/>
        </w:rPr>
        <w:t xml:space="preserve"> </w:t>
      </w:r>
      <w:r>
        <w:t>complete standard KYC and credit underwriting. Liquidity.io does not replace credit decisioning — it records it immutably.</w:t>
      </w:r>
    </w:p>
    <w:p w14:paraId="2724ADC0" w14:textId="77777777" w:rsidR="00781751" w:rsidRDefault="00D11CC7">
      <w:pPr>
        <w:spacing w:before="80" w:after="80"/>
        <w:ind w:left="480" w:hanging="280"/>
      </w:pPr>
      <w:proofErr w:type="gramStart"/>
      <w:r>
        <w:rPr>
          <w:color w:val="0E7C7B"/>
          <w:sz w:val="20"/>
          <w:szCs w:val="20"/>
        </w:rPr>
        <w:t xml:space="preserve">◆  </w:t>
      </w:r>
      <w:r>
        <w:rPr>
          <w:b/>
          <w:bCs/>
        </w:rPr>
        <w:t>Investors</w:t>
      </w:r>
      <w:proofErr w:type="gramEnd"/>
      <w:r>
        <w:rPr>
          <w:b/>
          <w:bCs/>
        </w:rPr>
        <w:t xml:space="preserve"> </w:t>
      </w:r>
      <w:r>
        <w:t>complete KYC, OFAC sanctions screening, and accredited-investor verification.</w:t>
      </w:r>
    </w:p>
    <w:p w14:paraId="452A73F2" w14:textId="77777777" w:rsidR="00781751" w:rsidRDefault="00781751">
      <w:pPr>
        <w:spacing w:after="80"/>
      </w:pPr>
    </w:p>
    <w:p w14:paraId="08AED28D" w14:textId="77777777" w:rsidR="00781751" w:rsidRDefault="00D11CC7">
      <w:pPr>
        <w:spacing w:before="120" w:after="120"/>
        <w:jc w:val="both"/>
      </w:pPr>
      <w:r>
        <w:t xml:space="preserve">Every approval is logged immutably on-chain </w:t>
      </w:r>
      <w:proofErr w:type="gramStart"/>
      <w:r>
        <w:t>at the moment</w:t>
      </w:r>
      <w:proofErr w:type="gramEnd"/>
      <w:r>
        <w:t xml:space="preserve"> it occurs — not reconstructed from email threads after the fact. The audit trail is created at the instant of each compliance decision.</w:t>
      </w:r>
    </w:p>
    <w:p w14:paraId="35D01136" w14:textId="77777777" w:rsidR="00781751" w:rsidRDefault="00781751">
      <w:pPr>
        <w:spacing w:after="80"/>
      </w:pPr>
    </w:p>
    <w:p w14:paraId="0A3121FB" w14:textId="77777777" w:rsidR="00781751" w:rsidRDefault="00D11CC7">
      <w:pPr>
        <w:spacing w:before="320" w:after="120"/>
      </w:pPr>
      <w:proofErr w:type="gramStart"/>
      <w:r>
        <w:rPr>
          <w:b/>
          <w:bCs/>
          <w:color w:val="1A5EA8"/>
          <w:sz w:val="24"/>
          <w:szCs w:val="24"/>
        </w:rPr>
        <w:t>3.2  Compliance</w:t>
      </w:r>
      <w:proofErr w:type="gramEnd"/>
      <w:r>
        <w:rPr>
          <w:b/>
          <w:bCs/>
          <w:color w:val="1A5EA8"/>
          <w:sz w:val="24"/>
          <w:szCs w:val="24"/>
        </w:rPr>
        <w:t xml:space="preserve"> Layer — Pre-Trade Enforcement</w:t>
      </w:r>
    </w:p>
    <w:p w14:paraId="19F15A1A" w14:textId="77777777" w:rsidR="00781751" w:rsidRDefault="00D11CC7">
      <w:pPr>
        <w:spacing w:before="120" w:after="120"/>
        <w:jc w:val="both"/>
      </w:pPr>
      <w:r>
        <w:t>Before any token transfer executes, the system runs a full compliance ruleset in milliseconds: investor accreditation, jurisdiction eligibility, OFAC screening, concentration limits, and transaction velocity checks. Any single flag stops the trade — not slows it. Every approved transaction leaves a tamper-proof, regulator-accessible audit trail. Supervisors do not wait for quarterly reporting. They query the ledger.</w:t>
      </w:r>
    </w:p>
    <w:p w14:paraId="5B1A4899" w14:textId="77777777" w:rsidR="00781751" w:rsidRDefault="00781751">
      <w:pPr>
        <w:spacing w:after="80"/>
      </w:pPr>
    </w:p>
    <w:p w14:paraId="1A5FF56B" w14:textId="77777777" w:rsidR="00781751" w:rsidRDefault="00D11CC7">
      <w:pPr>
        <w:spacing w:before="320" w:after="120"/>
      </w:pPr>
      <w:proofErr w:type="gramStart"/>
      <w:r>
        <w:rPr>
          <w:b/>
          <w:bCs/>
          <w:color w:val="1A5EA8"/>
          <w:sz w:val="24"/>
          <w:szCs w:val="24"/>
        </w:rPr>
        <w:t>3.3  Settlement</w:t>
      </w:r>
      <w:proofErr w:type="gramEnd"/>
      <w:r>
        <w:rPr>
          <w:b/>
          <w:bCs/>
          <w:color w:val="1A5EA8"/>
          <w:sz w:val="24"/>
          <w:szCs w:val="24"/>
        </w:rPr>
        <w:t xml:space="preserve"> Layer — Atomic Exchange</w:t>
      </w:r>
    </w:p>
    <w:p w14:paraId="6E56C98F" w14:textId="77777777" w:rsidR="00781751" w:rsidRDefault="00D11CC7">
      <w:pPr>
        <w:spacing w:before="120" w:after="120"/>
        <w:jc w:val="both"/>
      </w:pPr>
      <w:r>
        <w:t>The investor's payment — denominated in Liquidity USDL stablecoin — moves simultaneously with the transfer of the asset token. Both legs clear, or neither does. Settlement operates 24 hours a day, 7 days a week, 365 days a year. Warehouse facilities revolve continuously. Counterparty exposure collapses to zero. There is no settlement risk because there is no settlement window.</w:t>
      </w:r>
    </w:p>
    <w:p w14:paraId="127F5BED" w14:textId="77777777" w:rsidR="00781751" w:rsidRDefault="0078175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751" w14:paraId="71A33E6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4F6F9"/>
            <w:tcMar>
              <w:top w:w="240" w:type="dxa"/>
              <w:left w:w="360" w:type="dxa"/>
              <w:bottom w:w="240" w:type="dxa"/>
              <w:right w:w="360" w:type="dxa"/>
            </w:tcMar>
          </w:tcPr>
          <w:p w14:paraId="3AF65902" w14:textId="77777777" w:rsidR="00781751" w:rsidRDefault="00D11CC7">
            <w:pPr>
              <w:spacing w:before="80" w:after="120"/>
            </w:pPr>
            <w:r>
              <w:rPr>
                <w:b/>
                <w:bCs/>
                <w:color w:val="0A2342"/>
              </w:rPr>
              <w:t>Live Production — Automatic USA</w:t>
            </w:r>
          </w:p>
          <w:p w14:paraId="17C16743" w14:textId="388F1611" w:rsidR="00781751" w:rsidRDefault="00D11CC7">
            <w:pPr>
              <w:spacing w:after="80"/>
            </w:pPr>
            <w:r>
              <w:t xml:space="preserve">Automatic USA originates live auto loans that settle instantly via Liquidity USDL. Dealers fund in real time. Forum Markets, the warehouse lender, begins accruing interest </w:t>
            </w:r>
            <w:proofErr w:type="gramStart"/>
            <w:r>
              <w:t>at the moment</w:t>
            </w:r>
            <w:proofErr w:type="gramEnd"/>
            <w:r>
              <w:t xml:space="preserve"> of closing. The originator's books reflect the transaction before the close of business — not two business days later. This is not a pilot. It is </w:t>
            </w:r>
            <w:r w:rsidR="00F417A9">
              <w:t xml:space="preserve">our </w:t>
            </w:r>
            <w:r>
              <w:t>production infrastructure.</w:t>
            </w:r>
          </w:p>
        </w:tc>
      </w:tr>
    </w:tbl>
    <w:p w14:paraId="1E9D865B" w14:textId="77777777" w:rsidR="00781751" w:rsidRDefault="00781751">
      <w:pPr>
        <w:spacing w:after="80"/>
      </w:pPr>
    </w:p>
    <w:p w14:paraId="1C38067C" w14:textId="77777777" w:rsidR="00781751" w:rsidRDefault="00781751">
      <w:pPr>
        <w:pBdr>
          <w:bottom w:val="single" w:sz="2" w:space="4" w:color="D0D7E2"/>
        </w:pBdr>
        <w:spacing w:before="160" w:after="160"/>
      </w:pPr>
    </w:p>
    <w:p w14:paraId="2C5D8A15" w14:textId="77777777" w:rsidR="00781751" w:rsidRDefault="00D11CC7">
      <w:pPr>
        <w:pBdr>
          <w:bottom w:val="single" w:sz="4" w:space="6" w:color="0E7C7B"/>
        </w:pBdr>
        <w:spacing w:before="480" w:after="160"/>
      </w:pPr>
      <w:r>
        <w:rPr>
          <w:b/>
          <w:bCs/>
          <w:caps/>
          <w:color w:val="0A2342"/>
          <w:sz w:val="30"/>
          <w:szCs w:val="30"/>
        </w:rPr>
        <w:t>4.  Custodial Recognition: The Balance-Sheet Imperative</w:t>
      </w:r>
    </w:p>
    <w:p w14:paraId="1B87029A" w14:textId="77777777" w:rsidR="00781751" w:rsidRDefault="00D11CC7">
      <w:pPr>
        <w:spacing w:before="120" w:after="120"/>
        <w:jc w:val="both"/>
      </w:pPr>
      <w:r>
        <w:t>This section addresses the question that matters most to CFOs and custodians — and the one most often left unanswered by proponents of tokenization.</w:t>
      </w:r>
    </w:p>
    <w:p w14:paraId="257B7F8D" w14:textId="77777777" w:rsidR="00781751" w:rsidRDefault="00781751">
      <w:pPr>
        <w:spacing w:after="80"/>
      </w:pPr>
    </w:p>
    <w:p w14:paraId="0DD90125" w14:textId="77777777" w:rsidR="00781751" w:rsidRDefault="00D11CC7">
      <w:pPr>
        <w:spacing w:before="120" w:after="120"/>
        <w:jc w:val="both"/>
      </w:pPr>
      <w:r>
        <w:t>When Liquidity.io creates a loan on-chain, we are not digitizing paperwork. We are creating an actual collateralized receivable — a real, verifiable asset — that custodians and risk officers should recognize as a bona fide balance-sheet position. It is not a synthetic exposure. It is not off-balance-sheet abstraction. It is an asset backed by legally enforceable credit contracts and perfected liens, represented digitally but grounded entirely in law.</w:t>
      </w:r>
    </w:p>
    <w:p w14:paraId="590D8F67" w14:textId="77777777" w:rsidR="00781751" w:rsidRDefault="00781751">
      <w:pPr>
        <w:spacing w:after="80"/>
      </w:pPr>
    </w:p>
    <w:p w14:paraId="78434DA3" w14:textId="77777777" w:rsidR="00781751" w:rsidRDefault="00D11CC7">
      <w:pPr>
        <w:spacing w:before="120" w:after="120"/>
        <w:jc w:val="both"/>
      </w:pPr>
      <w:r>
        <w:t>Three questions consistently arise from custodians and CFOs evaluating this infrastructure. We address each directly.</w:t>
      </w:r>
    </w:p>
    <w:p w14:paraId="490663A5" w14:textId="77777777" w:rsidR="00781751" w:rsidRDefault="00781751">
      <w:pPr>
        <w:spacing w:after="80"/>
      </w:pPr>
    </w:p>
    <w:p w14:paraId="15298D55" w14:textId="77777777" w:rsidR="00781751" w:rsidRDefault="00D11CC7">
      <w:pPr>
        <w:spacing w:before="320" w:after="120"/>
      </w:pPr>
      <w:proofErr w:type="gramStart"/>
      <w:r>
        <w:rPr>
          <w:b/>
          <w:bCs/>
          <w:color w:val="1A5EA8"/>
          <w:sz w:val="24"/>
          <w:szCs w:val="24"/>
        </w:rPr>
        <w:t>4.1  Legal</w:t>
      </w:r>
      <w:proofErr w:type="gramEnd"/>
      <w:r>
        <w:rPr>
          <w:b/>
          <w:bCs/>
          <w:color w:val="1A5EA8"/>
          <w:sz w:val="24"/>
          <w:szCs w:val="24"/>
        </w:rPr>
        <w:t xml:space="preserve"> Enforceability — Is the Lien Real?</w:t>
      </w:r>
    </w:p>
    <w:p w14:paraId="761FA7EE" w14:textId="77777777" w:rsidR="00781751" w:rsidRDefault="00D11CC7">
      <w:pPr>
        <w:spacing w:before="120" w:after="120"/>
        <w:jc w:val="both"/>
      </w:pPr>
      <w:r>
        <w:t>A tokenized auto loan receivable does not derive its legal standing from the blockchain. It derives its standing from the same source as all receivables: the underlying credit agreement, the perfected lien on the vehicle, and the UCC filing establishing priority. The blockchain is the registry. The law is the law.</w:t>
      </w:r>
    </w:p>
    <w:p w14:paraId="377A3C30" w14:textId="77777777" w:rsidR="00781751" w:rsidRDefault="00781751">
      <w:pPr>
        <w:spacing w:after="80"/>
      </w:pPr>
    </w:p>
    <w:p w14:paraId="6763D879" w14:textId="77777777" w:rsidR="00781751" w:rsidRDefault="00D11CC7">
      <w:pPr>
        <w:spacing w:before="120" w:after="120"/>
        <w:jc w:val="both"/>
      </w:pPr>
      <w:r>
        <w:t>What tokenization adds is an immutable, cryptographically verifiable record that a specific lien was perfected at a specific moment, against a specific VIN, by a specific originator. That record cannot be altered retroactively, duplicated, or quietly re-pledged without detection. UCC Article 12, enacted to govern controllable electronic records, establishes that a cryptographic token representing a perfected lien is legally equivalent to paper possession of that instrument.</w:t>
      </w:r>
    </w:p>
    <w:p w14:paraId="7C748E64" w14:textId="77777777" w:rsidR="00781751" w:rsidRDefault="00781751">
      <w:pPr>
        <w:spacing w:after="80"/>
      </w:pPr>
    </w:p>
    <w:p w14:paraId="1E879CDF" w14:textId="77777777" w:rsidR="00781751" w:rsidRDefault="00D11CC7">
      <w:pPr>
        <w:spacing w:before="120" w:after="120"/>
        <w:jc w:val="both"/>
      </w:pPr>
      <w:r>
        <w:t>From a pure evidentiary standpoint, the tokenized record is more defensible than a paper title in a vault. Paper can be photocopied. Filings get misfiled. Insiders can amend records. A cryptographic ledger entry requires network consensus to alter and leaves an indelible trace of any attempt. Courts and legal practitioners are increasingly aligned on this point.</w:t>
      </w:r>
    </w:p>
    <w:p w14:paraId="5399EB4E" w14:textId="77777777" w:rsidR="00781751" w:rsidRDefault="00781751">
      <w:pPr>
        <w:spacing w:after="80"/>
      </w:pPr>
    </w:p>
    <w:p w14:paraId="52E4F670" w14:textId="77777777" w:rsidR="00781751" w:rsidRDefault="00D11CC7">
      <w:pPr>
        <w:pBdr>
          <w:left w:val="thick" w:sz="12" w:space="8" w:color="0E7C7B"/>
        </w:pBdr>
        <w:shd w:val="clear" w:color="auto" w:fill="E8F0FA"/>
        <w:spacing w:before="200" w:after="200"/>
        <w:ind w:left="560" w:right="560"/>
      </w:pPr>
      <w:r>
        <w:rPr>
          <w:i/>
          <w:iCs/>
          <w:color w:val="0A2342"/>
        </w:rPr>
        <w:t>The challenge today is not legal theory. The challenge is that custodians have not yet built the operational infrastructure to hold and report digital assets the way they hold paper instruments. That is a systems problem. It is solvable.</w:t>
      </w:r>
    </w:p>
    <w:p w14:paraId="34CEFE21" w14:textId="77777777" w:rsidR="00781751" w:rsidRDefault="00781751">
      <w:pPr>
        <w:spacing w:after="80"/>
      </w:pPr>
    </w:p>
    <w:p w14:paraId="03F810DB" w14:textId="77777777" w:rsidR="00781751" w:rsidRDefault="00D11CC7">
      <w:pPr>
        <w:spacing w:before="320" w:after="120"/>
      </w:pPr>
      <w:proofErr w:type="gramStart"/>
      <w:r>
        <w:rPr>
          <w:b/>
          <w:bCs/>
          <w:color w:val="1A5EA8"/>
          <w:sz w:val="24"/>
          <w:szCs w:val="24"/>
        </w:rPr>
        <w:t>4.2  Accounting</w:t>
      </w:r>
      <w:proofErr w:type="gramEnd"/>
      <w:r>
        <w:rPr>
          <w:b/>
          <w:bCs/>
          <w:color w:val="1A5EA8"/>
          <w:sz w:val="24"/>
          <w:szCs w:val="24"/>
        </w:rPr>
        <w:t xml:space="preserve"> Recognition — How Does It Book Under GAAP?</w:t>
      </w:r>
    </w:p>
    <w:p w14:paraId="5EAB655E" w14:textId="77777777" w:rsidR="00781751" w:rsidRDefault="00D11CC7">
      <w:pPr>
        <w:spacing w:before="120" w:after="120"/>
        <w:jc w:val="both"/>
      </w:pPr>
      <w:r>
        <w:t>The question CFOs face is how to recognize a tokenized receivable on the balance sheet. The answer, under existing U.S. GAAP, is straightforward.</w:t>
      </w:r>
    </w:p>
    <w:p w14:paraId="705CAFBF" w14:textId="77777777" w:rsidR="00781751" w:rsidRDefault="00781751">
      <w:pPr>
        <w:spacing w:after="80"/>
      </w:pPr>
    </w:p>
    <w:p w14:paraId="2ECF221B" w14:textId="77777777" w:rsidR="00781751" w:rsidRDefault="00D11CC7">
      <w:pPr>
        <w:spacing w:before="120" w:after="120"/>
        <w:jc w:val="both"/>
      </w:pPr>
      <w:r>
        <w:t>A tokenized auto loan receivable satisfies the definition of a financial asset under ASC 310: it represents a contractual right to receive cash from a borrower, collateralized by an identifiable asset, with a documented and enforceable legal claim. The digital form of the record does not change the economic substance. GAAP has long established that the form of documentation does not determine accounting treatment — the substance of the rights and obligations does.</w:t>
      </w:r>
    </w:p>
    <w:p w14:paraId="5B5C390D" w14:textId="77777777" w:rsidR="00781751" w:rsidRDefault="00781751">
      <w:pPr>
        <w:spacing w:after="80"/>
      </w:pPr>
    </w:p>
    <w:p w14:paraId="7C05A05B" w14:textId="77777777" w:rsidR="00781751" w:rsidRDefault="00D11CC7">
      <w:pPr>
        <w:spacing w:before="120" w:after="120"/>
        <w:jc w:val="both"/>
      </w:pPr>
      <w:r>
        <w:t>What is missing is not accounting principle. It is FASB practice guidance specific to digital representations of loan receivables. In that vacuum, some institutions have defaulted to inaction. But absence of explicit guidance is not prohibition. Institutions that engage their auditors early, document the legal and economic substance of their tokenized positions, and apply ASC 310 consistently are well-positioned to recognize these assets correctly today.</w:t>
      </w:r>
    </w:p>
    <w:p w14:paraId="7EE5ADD4" w14:textId="77777777" w:rsidR="00781751" w:rsidRDefault="00781751">
      <w:pPr>
        <w:spacing w:after="80"/>
      </w:pPr>
    </w:p>
    <w:p w14:paraId="4C4A9813" w14:textId="77777777" w:rsidR="00781751" w:rsidRDefault="00D11CC7">
      <w:pPr>
        <w:spacing w:before="320" w:after="120"/>
      </w:pPr>
      <w:proofErr w:type="gramStart"/>
      <w:r>
        <w:rPr>
          <w:b/>
          <w:bCs/>
          <w:color w:val="1A5EA8"/>
          <w:sz w:val="24"/>
          <w:szCs w:val="24"/>
        </w:rPr>
        <w:t>4.3  Regulatory</w:t>
      </w:r>
      <w:proofErr w:type="gramEnd"/>
      <w:r>
        <w:rPr>
          <w:b/>
          <w:bCs/>
          <w:color w:val="1A5EA8"/>
          <w:sz w:val="24"/>
          <w:szCs w:val="24"/>
        </w:rPr>
        <w:t xml:space="preserve"> Clarity — What Do Supervisors Say?</w:t>
      </w:r>
    </w:p>
    <w:p w14:paraId="64B8E6B1" w14:textId="77777777" w:rsidR="00781751" w:rsidRDefault="00D11CC7">
      <w:pPr>
        <w:spacing w:before="120" w:after="120"/>
        <w:jc w:val="both"/>
      </w:pPr>
      <w:r>
        <w:t>The direction of regulatory travel is clear. OCC Interpretive Letters 1170 and 1174 affirm that federally chartered banks may custody digital assets when the underlying legal and compliance framework is sound. The Federal Reserve's novel activities guidance establishes a supervisory posture of engagement rather than prohibition. The SEC's evolving digital securities framework provides a path for registered offerings of tokenized instruments.</w:t>
      </w:r>
    </w:p>
    <w:p w14:paraId="247713AE" w14:textId="77777777" w:rsidR="00781751" w:rsidRDefault="00781751">
      <w:pPr>
        <w:spacing w:after="80"/>
      </w:pPr>
    </w:p>
    <w:p w14:paraId="073ACBF6" w14:textId="77777777" w:rsidR="00781751" w:rsidRDefault="00D11CC7">
      <w:pPr>
        <w:spacing w:before="120" w:after="120"/>
        <w:jc w:val="both"/>
      </w:pPr>
      <w:proofErr w:type="spellStart"/>
      <w:r>
        <w:t>Liquidity.io's</w:t>
      </w:r>
      <w:proofErr w:type="spellEnd"/>
      <w:r>
        <w:t xml:space="preserve"> tokenized receivables are issued on a registered Alternative Trading System, governed by enforceable legal agreements, and backed by perfected UCC liens. That is not a gray area. That is regulated finance in a digital wrapper.</w:t>
      </w:r>
    </w:p>
    <w:p w14:paraId="75AF565C" w14:textId="77777777" w:rsidR="00781751" w:rsidRDefault="00781751">
      <w:pPr>
        <w:spacing w:after="80"/>
      </w:pPr>
    </w:p>
    <w:p w14:paraId="6290F7E3" w14:textId="77777777" w:rsidR="00781751" w:rsidRDefault="00D11CC7">
      <w:pPr>
        <w:spacing w:before="320" w:after="120"/>
      </w:pPr>
      <w:proofErr w:type="gramStart"/>
      <w:r>
        <w:rPr>
          <w:b/>
          <w:bCs/>
          <w:color w:val="1A5EA8"/>
          <w:sz w:val="24"/>
          <w:szCs w:val="24"/>
        </w:rPr>
        <w:t>4.4  The</w:t>
      </w:r>
      <w:proofErr w:type="gramEnd"/>
      <w:r>
        <w:rPr>
          <w:b/>
          <w:bCs/>
          <w:color w:val="1A5EA8"/>
          <w:sz w:val="24"/>
          <w:szCs w:val="24"/>
        </w:rPr>
        <w:t xml:space="preserve"> Balance-Sheet Math — Quantifying Stranded Capital</w:t>
      </w:r>
    </w:p>
    <w:p w14:paraId="6E82B207" w14:textId="77777777" w:rsidR="00781751" w:rsidRDefault="00D11CC7">
      <w:pPr>
        <w:spacing w:before="120" w:after="120"/>
        <w:jc w:val="both"/>
      </w:pPr>
      <w:r>
        <w:t>The economic case for custodial recognition is not abstract. Consider a $500M warehouse lender originating $2B annually:</w:t>
      </w:r>
    </w:p>
    <w:p w14:paraId="26F4AC55" w14:textId="77777777" w:rsidR="00781751" w:rsidRDefault="0078175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62"/>
        <w:gridCol w:w="3998"/>
      </w:tblGrid>
      <w:tr w:rsidR="00781751" w14:paraId="10B77926"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0A2342"/>
            <w:tcMar>
              <w:top w:w="120" w:type="dxa"/>
              <w:left w:w="200" w:type="dxa"/>
              <w:bottom w:w="120" w:type="dxa"/>
              <w:right w:w="200" w:type="dxa"/>
            </w:tcMar>
          </w:tcPr>
          <w:p w14:paraId="1384010A" w14:textId="77777777" w:rsidR="00781751" w:rsidRDefault="00D11CC7">
            <w:r>
              <w:rPr>
                <w:b/>
                <w:bCs/>
                <w:color w:val="FFFFFF"/>
              </w:rPr>
              <w:t>Metric</w:t>
            </w:r>
          </w:p>
        </w:tc>
        <w:tc>
          <w:tcPr>
            <w:tcW w:w="0" w:type="auto"/>
            <w:tcBorders>
              <w:top w:val="single" w:sz="1" w:space="0" w:color="D0D7E2"/>
              <w:left w:val="single" w:sz="1" w:space="0" w:color="D0D7E2"/>
              <w:bottom w:val="single" w:sz="1" w:space="0" w:color="D0D7E2"/>
              <w:right w:val="single" w:sz="1" w:space="0" w:color="D0D7E2"/>
            </w:tcBorders>
            <w:shd w:val="clear" w:color="auto" w:fill="0A2342"/>
            <w:tcMar>
              <w:top w:w="120" w:type="dxa"/>
              <w:left w:w="200" w:type="dxa"/>
              <w:bottom w:w="120" w:type="dxa"/>
              <w:right w:w="200" w:type="dxa"/>
            </w:tcMar>
          </w:tcPr>
          <w:p w14:paraId="4A288D09" w14:textId="77777777" w:rsidR="00781751" w:rsidRDefault="00D11CC7">
            <w:r>
              <w:rPr>
                <w:b/>
                <w:bCs/>
                <w:color w:val="FFFFFF"/>
              </w:rPr>
              <w:t>Value / Impact</w:t>
            </w:r>
          </w:p>
        </w:tc>
      </w:tr>
      <w:tr w:rsidR="00781751" w14:paraId="1F2ABB6E"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100" w:type="dxa"/>
              <w:left w:w="200" w:type="dxa"/>
              <w:bottom w:w="100" w:type="dxa"/>
              <w:right w:w="200" w:type="dxa"/>
            </w:tcMar>
          </w:tcPr>
          <w:p w14:paraId="69AF6957" w14:textId="77777777" w:rsidR="00781751" w:rsidRDefault="00D11CC7">
            <w:r>
              <w:rPr>
                <w:b/>
                <w:bCs/>
                <w:sz w:val="21"/>
                <w:szCs w:val="21"/>
              </w:rPr>
              <w:t>Annual origination volume</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100" w:type="dxa"/>
              <w:left w:w="200" w:type="dxa"/>
              <w:bottom w:w="100" w:type="dxa"/>
              <w:right w:w="200" w:type="dxa"/>
            </w:tcMar>
          </w:tcPr>
          <w:p w14:paraId="096913D6" w14:textId="77777777" w:rsidR="00781751" w:rsidRDefault="00D11CC7">
            <w:r>
              <w:rPr>
                <w:sz w:val="21"/>
                <w:szCs w:val="21"/>
              </w:rPr>
              <w:t>$2 billion</w:t>
            </w:r>
          </w:p>
        </w:tc>
      </w:tr>
      <w:tr w:rsidR="00781751" w14:paraId="7839F1DA"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4F6F9"/>
            <w:tcMar>
              <w:top w:w="100" w:type="dxa"/>
              <w:left w:w="200" w:type="dxa"/>
              <w:bottom w:w="100" w:type="dxa"/>
              <w:right w:w="200" w:type="dxa"/>
            </w:tcMar>
          </w:tcPr>
          <w:p w14:paraId="456537C3" w14:textId="77777777" w:rsidR="00781751" w:rsidRDefault="00D11CC7">
            <w:r>
              <w:rPr>
                <w:b/>
                <w:bCs/>
                <w:sz w:val="21"/>
                <w:szCs w:val="21"/>
              </w:rPr>
              <w:t>Daily production</w:t>
            </w:r>
          </w:p>
        </w:tc>
        <w:tc>
          <w:tcPr>
            <w:tcW w:w="0" w:type="auto"/>
            <w:tcBorders>
              <w:top w:val="single" w:sz="1" w:space="0" w:color="D0D7E2"/>
              <w:left w:val="single" w:sz="1" w:space="0" w:color="D0D7E2"/>
              <w:bottom w:val="single" w:sz="1" w:space="0" w:color="D0D7E2"/>
              <w:right w:val="single" w:sz="1" w:space="0" w:color="D0D7E2"/>
            </w:tcBorders>
            <w:shd w:val="clear" w:color="auto" w:fill="F4F6F9"/>
            <w:tcMar>
              <w:top w:w="100" w:type="dxa"/>
              <w:left w:w="200" w:type="dxa"/>
              <w:bottom w:w="100" w:type="dxa"/>
              <w:right w:w="200" w:type="dxa"/>
            </w:tcMar>
          </w:tcPr>
          <w:p w14:paraId="571914A5" w14:textId="77777777" w:rsidR="00781751" w:rsidRDefault="00D11CC7">
            <w:r>
              <w:rPr>
                <w:sz w:val="21"/>
                <w:szCs w:val="21"/>
              </w:rPr>
              <w:t>$5.48 million</w:t>
            </w:r>
          </w:p>
        </w:tc>
      </w:tr>
      <w:tr w:rsidR="00781751" w14:paraId="1577B912"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100" w:type="dxa"/>
              <w:left w:w="200" w:type="dxa"/>
              <w:bottom w:w="100" w:type="dxa"/>
              <w:right w:w="200" w:type="dxa"/>
            </w:tcMar>
          </w:tcPr>
          <w:p w14:paraId="62003852" w14:textId="77777777" w:rsidR="00781751" w:rsidRDefault="00D11CC7">
            <w:r>
              <w:rPr>
                <w:b/>
                <w:bCs/>
                <w:sz w:val="21"/>
                <w:szCs w:val="21"/>
              </w:rPr>
              <w:t>Legacy custody verification lag</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100" w:type="dxa"/>
              <w:left w:w="200" w:type="dxa"/>
              <w:bottom w:w="100" w:type="dxa"/>
              <w:right w:w="200" w:type="dxa"/>
            </w:tcMar>
          </w:tcPr>
          <w:p w14:paraId="3D7D92DB" w14:textId="77777777" w:rsidR="00781751" w:rsidRDefault="00D11CC7">
            <w:r>
              <w:rPr>
                <w:sz w:val="21"/>
                <w:szCs w:val="21"/>
              </w:rPr>
              <w:t>5–7 days (model: 6 days)</w:t>
            </w:r>
          </w:p>
        </w:tc>
      </w:tr>
      <w:tr w:rsidR="00781751" w14:paraId="33E8D087"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4F6F9"/>
            <w:tcMar>
              <w:top w:w="100" w:type="dxa"/>
              <w:left w:w="200" w:type="dxa"/>
              <w:bottom w:w="100" w:type="dxa"/>
              <w:right w:w="200" w:type="dxa"/>
            </w:tcMar>
          </w:tcPr>
          <w:p w14:paraId="2D03B564" w14:textId="77777777" w:rsidR="00781751" w:rsidRDefault="00D11CC7">
            <w:r>
              <w:rPr>
                <w:b/>
                <w:bCs/>
                <w:sz w:val="21"/>
                <w:szCs w:val="21"/>
              </w:rPr>
              <w:t>Uncollateralized exposure per cycle</w:t>
            </w:r>
          </w:p>
        </w:tc>
        <w:tc>
          <w:tcPr>
            <w:tcW w:w="0" w:type="auto"/>
            <w:tcBorders>
              <w:top w:val="single" w:sz="1" w:space="0" w:color="D0D7E2"/>
              <w:left w:val="single" w:sz="1" w:space="0" w:color="D0D7E2"/>
              <w:bottom w:val="single" w:sz="1" w:space="0" w:color="D0D7E2"/>
              <w:right w:val="single" w:sz="1" w:space="0" w:color="D0D7E2"/>
            </w:tcBorders>
            <w:shd w:val="clear" w:color="auto" w:fill="F4F6F9"/>
            <w:tcMar>
              <w:top w:w="100" w:type="dxa"/>
              <w:left w:w="200" w:type="dxa"/>
              <w:bottom w:w="100" w:type="dxa"/>
              <w:right w:w="200" w:type="dxa"/>
            </w:tcMar>
          </w:tcPr>
          <w:p w14:paraId="02528C9B" w14:textId="77777777" w:rsidR="00781751" w:rsidRDefault="00D11CC7">
            <w:r>
              <w:rPr>
                <w:sz w:val="21"/>
                <w:szCs w:val="21"/>
              </w:rPr>
              <w:t>$32.8 million</w:t>
            </w:r>
          </w:p>
        </w:tc>
      </w:tr>
      <w:tr w:rsidR="00781751" w14:paraId="204FDF13"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100" w:type="dxa"/>
              <w:left w:w="200" w:type="dxa"/>
              <w:bottom w:w="100" w:type="dxa"/>
              <w:right w:w="200" w:type="dxa"/>
            </w:tcMar>
          </w:tcPr>
          <w:p w14:paraId="0594AA0F" w14:textId="77777777" w:rsidR="00781751" w:rsidRDefault="00D11CC7">
            <w:r>
              <w:rPr>
                <w:b/>
                <w:bCs/>
                <w:sz w:val="21"/>
                <w:szCs w:val="21"/>
              </w:rPr>
              <w:t>Warehouse funding rate (SOFR + 125 bps)</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100" w:type="dxa"/>
              <w:left w:w="200" w:type="dxa"/>
              <w:bottom w:w="100" w:type="dxa"/>
              <w:right w:w="200" w:type="dxa"/>
            </w:tcMar>
          </w:tcPr>
          <w:p w14:paraId="334CB1DB" w14:textId="77777777" w:rsidR="00781751" w:rsidRDefault="00D11CC7">
            <w:r>
              <w:rPr>
                <w:sz w:val="21"/>
                <w:szCs w:val="21"/>
              </w:rPr>
              <w:t>5.25%</w:t>
            </w:r>
          </w:p>
        </w:tc>
      </w:tr>
      <w:tr w:rsidR="00781751" w14:paraId="1B1CE10F"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4F6F9"/>
            <w:tcMar>
              <w:top w:w="100" w:type="dxa"/>
              <w:left w:w="200" w:type="dxa"/>
              <w:bottom w:w="100" w:type="dxa"/>
              <w:right w:w="200" w:type="dxa"/>
            </w:tcMar>
          </w:tcPr>
          <w:p w14:paraId="332D9E71" w14:textId="77777777" w:rsidR="00781751" w:rsidRDefault="00D11CC7">
            <w:r>
              <w:rPr>
                <w:b/>
                <w:bCs/>
                <w:sz w:val="21"/>
                <w:szCs w:val="21"/>
              </w:rPr>
              <w:t>Daily funding waste</w:t>
            </w:r>
          </w:p>
        </w:tc>
        <w:tc>
          <w:tcPr>
            <w:tcW w:w="0" w:type="auto"/>
            <w:tcBorders>
              <w:top w:val="single" w:sz="1" w:space="0" w:color="D0D7E2"/>
              <w:left w:val="single" w:sz="1" w:space="0" w:color="D0D7E2"/>
              <w:bottom w:val="single" w:sz="1" w:space="0" w:color="D0D7E2"/>
              <w:right w:val="single" w:sz="1" w:space="0" w:color="D0D7E2"/>
            </w:tcBorders>
            <w:shd w:val="clear" w:color="auto" w:fill="F4F6F9"/>
            <w:tcMar>
              <w:top w:w="100" w:type="dxa"/>
              <w:left w:w="200" w:type="dxa"/>
              <w:bottom w:w="100" w:type="dxa"/>
              <w:right w:w="200" w:type="dxa"/>
            </w:tcMar>
          </w:tcPr>
          <w:p w14:paraId="782413EA" w14:textId="77777777" w:rsidR="00781751" w:rsidRDefault="00D11CC7">
            <w:r>
              <w:rPr>
                <w:sz w:val="21"/>
                <w:szCs w:val="21"/>
              </w:rPr>
              <w:t>$4,728</w:t>
            </w:r>
          </w:p>
        </w:tc>
      </w:tr>
      <w:tr w:rsidR="00781751" w14:paraId="210D7601"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100" w:type="dxa"/>
              <w:left w:w="200" w:type="dxa"/>
              <w:bottom w:w="100" w:type="dxa"/>
              <w:right w:w="200" w:type="dxa"/>
            </w:tcMar>
          </w:tcPr>
          <w:p w14:paraId="3DF2C940" w14:textId="77777777" w:rsidR="00781751" w:rsidRDefault="00D11CC7">
            <w:r>
              <w:rPr>
                <w:b/>
                <w:bCs/>
                <w:sz w:val="21"/>
                <w:szCs w:val="21"/>
              </w:rPr>
              <w:t>Annual funding waste (100 cycles)</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100" w:type="dxa"/>
              <w:left w:w="200" w:type="dxa"/>
              <w:bottom w:w="100" w:type="dxa"/>
              <w:right w:w="200" w:type="dxa"/>
            </w:tcMar>
          </w:tcPr>
          <w:p w14:paraId="261F7D0F" w14:textId="77777777" w:rsidR="00781751" w:rsidRDefault="00D11CC7">
            <w:r>
              <w:rPr>
                <w:sz w:val="21"/>
                <w:szCs w:val="21"/>
              </w:rPr>
              <w:t>$2.84 million</w:t>
            </w:r>
          </w:p>
        </w:tc>
      </w:tr>
      <w:tr w:rsidR="00781751" w14:paraId="475535CB"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4F6F9"/>
            <w:tcMar>
              <w:top w:w="100" w:type="dxa"/>
              <w:left w:w="200" w:type="dxa"/>
              <w:bottom w:w="100" w:type="dxa"/>
              <w:right w:w="200" w:type="dxa"/>
            </w:tcMar>
          </w:tcPr>
          <w:p w14:paraId="1C74B7C4" w14:textId="77777777" w:rsidR="00781751" w:rsidRDefault="00D11CC7">
            <w:r>
              <w:rPr>
                <w:b/>
                <w:bCs/>
                <w:sz w:val="21"/>
                <w:szCs w:val="21"/>
              </w:rPr>
              <w:t>Risk-weighted assets at 100% weight</w:t>
            </w:r>
          </w:p>
        </w:tc>
        <w:tc>
          <w:tcPr>
            <w:tcW w:w="0" w:type="auto"/>
            <w:tcBorders>
              <w:top w:val="single" w:sz="1" w:space="0" w:color="D0D7E2"/>
              <w:left w:val="single" w:sz="1" w:space="0" w:color="D0D7E2"/>
              <w:bottom w:val="single" w:sz="1" w:space="0" w:color="D0D7E2"/>
              <w:right w:val="single" w:sz="1" w:space="0" w:color="D0D7E2"/>
            </w:tcBorders>
            <w:shd w:val="clear" w:color="auto" w:fill="F4F6F9"/>
            <w:tcMar>
              <w:top w:w="100" w:type="dxa"/>
              <w:left w:w="200" w:type="dxa"/>
              <w:bottom w:w="100" w:type="dxa"/>
              <w:right w:w="200" w:type="dxa"/>
            </w:tcMar>
          </w:tcPr>
          <w:p w14:paraId="44BAA4E8" w14:textId="77777777" w:rsidR="00781751" w:rsidRDefault="00D11CC7">
            <w:r>
              <w:rPr>
                <w:sz w:val="21"/>
                <w:szCs w:val="21"/>
              </w:rPr>
              <w:t>$32.8 million</w:t>
            </w:r>
          </w:p>
        </w:tc>
      </w:tr>
      <w:tr w:rsidR="00781751" w14:paraId="2F27C824"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100" w:type="dxa"/>
              <w:left w:w="200" w:type="dxa"/>
              <w:bottom w:w="100" w:type="dxa"/>
              <w:right w:w="200" w:type="dxa"/>
            </w:tcMar>
          </w:tcPr>
          <w:p w14:paraId="2AFD7A99" w14:textId="77777777" w:rsidR="00781751" w:rsidRDefault="00D11CC7">
            <w:r>
              <w:rPr>
                <w:b/>
                <w:bCs/>
                <w:sz w:val="21"/>
                <w:szCs w:val="21"/>
              </w:rPr>
              <w:t>CET1 capital trapped (10% requirement)</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100" w:type="dxa"/>
              <w:left w:w="200" w:type="dxa"/>
              <w:bottom w:w="100" w:type="dxa"/>
              <w:right w:w="200" w:type="dxa"/>
            </w:tcMar>
          </w:tcPr>
          <w:p w14:paraId="59550EDB" w14:textId="77777777" w:rsidR="00781751" w:rsidRDefault="00D11CC7">
            <w:r>
              <w:rPr>
                <w:sz w:val="21"/>
                <w:szCs w:val="21"/>
              </w:rPr>
              <w:t>$3.29 million / year</w:t>
            </w:r>
          </w:p>
        </w:tc>
      </w:tr>
      <w:tr w:rsidR="00781751" w14:paraId="28F1E4D8"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4F6F9"/>
            <w:tcMar>
              <w:top w:w="100" w:type="dxa"/>
              <w:left w:w="200" w:type="dxa"/>
              <w:bottom w:w="100" w:type="dxa"/>
              <w:right w:w="200" w:type="dxa"/>
            </w:tcMar>
          </w:tcPr>
          <w:p w14:paraId="2435EC17" w14:textId="77777777" w:rsidR="00781751" w:rsidRDefault="00D11CC7">
            <w:r>
              <w:rPr>
                <w:b/>
                <w:bCs/>
                <w:sz w:val="21"/>
                <w:szCs w:val="21"/>
              </w:rPr>
              <w:t>Total annual value destroyed</w:t>
            </w:r>
          </w:p>
        </w:tc>
        <w:tc>
          <w:tcPr>
            <w:tcW w:w="0" w:type="auto"/>
            <w:tcBorders>
              <w:top w:val="single" w:sz="1" w:space="0" w:color="D0D7E2"/>
              <w:left w:val="single" w:sz="1" w:space="0" w:color="D0D7E2"/>
              <w:bottom w:val="single" w:sz="1" w:space="0" w:color="D0D7E2"/>
              <w:right w:val="single" w:sz="1" w:space="0" w:color="D0D7E2"/>
            </w:tcBorders>
            <w:shd w:val="clear" w:color="auto" w:fill="F4F6F9"/>
            <w:tcMar>
              <w:top w:w="100" w:type="dxa"/>
              <w:left w:w="200" w:type="dxa"/>
              <w:bottom w:w="100" w:type="dxa"/>
              <w:right w:w="200" w:type="dxa"/>
            </w:tcMar>
          </w:tcPr>
          <w:p w14:paraId="43AEEE1F" w14:textId="77777777" w:rsidR="00781751" w:rsidRDefault="00D11CC7">
            <w:r>
              <w:rPr>
                <w:sz w:val="21"/>
                <w:szCs w:val="21"/>
              </w:rPr>
              <w:t>$6.13 million (1.23% of capacity)</w:t>
            </w:r>
          </w:p>
        </w:tc>
      </w:tr>
      <w:tr w:rsidR="00781751" w14:paraId="1B21591C"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100" w:type="dxa"/>
              <w:left w:w="200" w:type="dxa"/>
              <w:bottom w:w="100" w:type="dxa"/>
              <w:right w:w="200" w:type="dxa"/>
            </w:tcMar>
          </w:tcPr>
          <w:p w14:paraId="62E4F42E" w14:textId="77777777" w:rsidR="00781751" w:rsidRDefault="00D11CC7">
            <w:r>
              <w:rPr>
                <w:b/>
                <w:bCs/>
                <w:sz w:val="21"/>
                <w:szCs w:val="21"/>
              </w:rPr>
              <w:t>Tokenization settlement time</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100" w:type="dxa"/>
              <w:left w:w="200" w:type="dxa"/>
              <w:bottom w:w="100" w:type="dxa"/>
              <w:right w:w="200" w:type="dxa"/>
            </w:tcMar>
          </w:tcPr>
          <w:p w14:paraId="04786E05" w14:textId="77777777" w:rsidR="00781751" w:rsidRDefault="00D11CC7">
            <w:r>
              <w:rPr>
                <w:sz w:val="21"/>
                <w:szCs w:val="21"/>
              </w:rPr>
              <w:t>8 seconds from eSignature</w:t>
            </w:r>
          </w:p>
        </w:tc>
      </w:tr>
      <w:tr w:rsidR="00781751" w14:paraId="7C843644"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4F6F9"/>
            <w:tcMar>
              <w:top w:w="100" w:type="dxa"/>
              <w:left w:w="200" w:type="dxa"/>
              <w:bottom w:w="100" w:type="dxa"/>
              <w:right w:w="200" w:type="dxa"/>
            </w:tcMar>
          </w:tcPr>
          <w:p w14:paraId="69644FDA" w14:textId="77777777" w:rsidR="00781751" w:rsidRDefault="00D11CC7">
            <w:r>
              <w:rPr>
                <w:b/>
                <w:bCs/>
                <w:sz w:val="21"/>
                <w:szCs w:val="21"/>
              </w:rPr>
              <w:t>ROE uplift from recapture</w:t>
            </w:r>
          </w:p>
        </w:tc>
        <w:tc>
          <w:tcPr>
            <w:tcW w:w="0" w:type="auto"/>
            <w:tcBorders>
              <w:top w:val="single" w:sz="1" w:space="0" w:color="D0D7E2"/>
              <w:left w:val="single" w:sz="1" w:space="0" w:color="D0D7E2"/>
              <w:bottom w:val="single" w:sz="1" w:space="0" w:color="D0D7E2"/>
              <w:right w:val="single" w:sz="1" w:space="0" w:color="D0D7E2"/>
            </w:tcBorders>
            <w:shd w:val="clear" w:color="auto" w:fill="F4F6F9"/>
            <w:tcMar>
              <w:top w:w="100" w:type="dxa"/>
              <w:left w:w="200" w:type="dxa"/>
              <w:bottom w:w="100" w:type="dxa"/>
              <w:right w:w="200" w:type="dxa"/>
            </w:tcMar>
          </w:tcPr>
          <w:p w14:paraId="48583F61" w14:textId="77777777" w:rsidR="00781751" w:rsidRDefault="00D11CC7">
            <w:r>
              <w:rPr>
                <w:sz w:val="21"/>
                <w:szCs w:val="21"/>
              </w:rPr>
              <w:t>11.5% → 12.8%</w:t>
            </w:r>
          </w:p>
        </w:tc>
      </w:tr>
    </w:tbl>
    <w:p w14:paraId="7722BA39" w14:textId="77777777" w:rsidR="00781751" w:rsidRDefault="00781751">
      <w:pPr>
        <w:spacing w:after="80"/>
      </w:pPr>
    </w:p>
    <w:p w14:paraId="0A4F0FBA" w14:textId="77777777" w:rsidR="00781751" w:rsidRDefault="00D11CC7">
      <w:pPr>
        <w:spacing w:before="120" w:after="120"/>
        <w:jc w:val="both"/>
      </w:pPr>
      <w:r>
        <w:t>During the 5–</w:t>
      </w:r>
      <w:proofErr w:type="gramStart"/>
      <w:r>
        <w:t>7 day</w:t>
      </w:r>
      <w:proofErr w:type="gramEnd"/>
      <w:r>
        <w:t xml:space="preserve"> legacy verification window: interest rate swaps remain unpaired, RWAs carry full exposure, LCR suffers from pending collateral, and warehouse lines pause while $32.8M sits idle. Tokenization collapses that window to 8 seconds — Day Zero digital perfection under UCC Article 12.</w:t>
      </w:r>
    </w:p>
    <w:p w14:paraId="161AFF28" w14:textId="77777777" w:rsidR="00781751" w:rsidRDefault="00781751">
      <w:pPr>
        <w:spacing w:after="80"/>
      </w:pPr>
    </w:p>
    <w:p w14:paraId="24BB57EE" w14:textId="77777777" w:rsidR="00781751" w:rsidRDefault="00D11CC7">
      <w:pPr>
        <w:spacing w:before="120" w:after="120"/>
        <w:jc w:val="both"/>
      </w:pPr>
      <w:r>
        <w:t>The compounding balance-sheet effects of custodial recognition at scale:</w:t>
      </w:r>
    </w:p>
    <w:p w14:paraId="42291A5B" w14:textId="77777777" w:rsidR="00781751" w:rsidRDefault="00D11CC7">
      <w:pPr>
        <w:spacing w:before="80" w:after="80"/>
        <w:ind w:left="480" w:hanging="280"/>
      </w:pPr>
      <w:proofErr w:type="gramStart"/>
      <w:r>
        <w:rPr>
          <w:color w:val="0E7C7B"/>
          <w:sz w:val="20"/>
          <w:szCs w:val="20"/>
        </w:rPr>
        <w:t xml:space="preserve">◆  </w:t>
      </w:r>
      <w:r>
        <w:t>Risk</w:t>
      </w:r>
      <w:proofErr w:type="gramEnd"/>
      <w:r>
        <w:t>-weighted assets decline as collateral efficiency rises.</w:t>
      </w:r>
    </w:p>
    <w:p w14:paraId="3DE4E72E" w14:textId="77777777" w:rsidR="00781751" w:rsidRDefault="00D11CC7">
      <w:pPr>
        <w:spacing w:before="80" w:after="80"/>
        <w:ind w:left="480" w:hanging="280"/>
      </w:pPr>
      <w:proofErr w:type="gramStart"/>
      <w:r>
        <w:rPr>
          <w:color w:val="0E7C7B"/>
          <w:sz w:val="20"/>
          <w:szCs w:val="20"/>
        </w:rPr>
        <w:t xml:space="preserve">◆  </w:t>
      </w:r>
      <w:r>
        <w:t>Liquidity</w:t>
      </w:r>
      <w:proofErr w:type="gramEnd"/>
      <w:r>
        <w:t xml:space="preserve"> coverage ratios improve — assets become mobile intraday rather than locked in manual verification processes.</w:t>
      </w:r>
    </w:p>
    <w:p w14:paraId="1185AC8D" w14:textId="77777777" w:rsidR="00781751" w:rsidRDefault="00D11CC7">
      <w:pPr>
        <w:spacing w:before="80" w:after="80"/>
        <w:ind w:left="480" w:hanging="280"/>
      </w:pPr>
      <w:proofErr w:type="gramStart"/>
      <w:r>
        <w:rPr>
          <w:color w:val="0E7C7B"/>
          <w:sz w:val="20"/>
          <w:szCs w:val="20"/>
        </w:rPr>
        <w:t xml:space="preserve">◆  </w:t>
      </w:r>
      <w:r>
        <w:t>Operational</w:t>
      </w:r>
      <w:proofErr w:type="gramEnd"/>
      <w:r>
        <w:t xml:space="preserve"> capital tied up in reconciliation is released and redeployed into productive activity.</w:t>
      </w:r>
    </w:p>
    <w:p w14:paraId="503952B9" w14:textId="77777777" w:rsidR="00781751" w:rsidRDefault="00D11CC7">
      <w:pPr>
        <w:spacing w:before="80" w:after="80"/>
        <w:ind w:left="480" w:hanging="280"/>
      </w:pPr>
      <w:proofErr w:type="gramStart"/>
      <w:r>
        <w:rPr>
          <w:color w:val="0E7C7B"/>
          <w:sz w:val="20"/>
          <w:szCs w:val="20"/>
        </w:rPr>
        <w:t xml:space="preserve">◆  </w:t>
      </w:r>
      <w:r>
        <w:t>A</w:t>
      </w:r>
      <w:proofErr w:type="gramEnd"/>
      <w:r>
        <w:t xml:space="preserve"> mid-size regional bank with $2B in auto receivables, tokenized and custody-recognized, reduces collateral management costs by 30–50% while expanding LCR through intraday mobility.</w:t>
      </w:r>
    </w:p>
    <w:p w14:paraId="42275135" w14:textId="77777777" w:rsidR="00781751" w:rsidRDefault="00781751">
      <w:pPr>
        <w:spacing w:after="80"/>
      </w:pPr>
    </w:p>
    <w:p w14:paraId="79633B76" w14:textId="77777777" w:rsidR="00781751" w:rsidRDefault="00D11CC7">
      <w:pPr>
        <w:spacing w:before="320" w:after="120"/>
      </w:pPr>
      <w:proofErr w:type="gramStart"/>
      <w:r>
        <w:rPr>
          <w:b/>
          <w:bCs/>
          <w:color w:val="1A5EA8"/>
          <w:sz w:val="24"/>
          <w:szCs w:val="24"/>
        </w:rPr>
        <w:t>4.5  The</w:t>
      </w:r>
      <w:proofErr w:type="gramEnd"/>
      <w:r>
        <w:rPr>
          <w:b/>
          <w:bCs/>
          <w:color w:val="1A5EA8"/>
          <w:sz w:val="24"/>
          <w:szCs w:val="24"/>
        </w:rPr>
        <w:t xml:space="preserve"> Custodian Opportunity</w:t>
      </w:r>
    </w:p>
    <w:p w14:paraId="6EED1C92" w14:textId="77777777" w:rsidR="00781751" w:rsidRDefault="00D11CC7">
      <w:pPr>
        <w:spacing w:before="120" w:after="120"/>
        <w:jc w:val="both"/>
      </w:pPr>
      <w:r>
        <w:t>For custodians evaluating this paper: digital RWA custody is not a risk management exercise. It is a product opportunity.</w:t>
      </w:r>
    </w:p>
    <w:p w14:paraId="196DECE0" w14:textId="77777777" w:rsidR="00781751" w:rsidRDefault="00781751">
      <w:pPr>
        <w:spacing w:after="80"/>
      </w:pPr>
    </w:p>
    <w:p w14:paraId="29250D24" w14:textId="77777777" w:rsidR="00781751" w:rsidRDefault="00D11CC7">
      <w:pPr>
        <w:spacing w:before="120" w:after="120"/>
        <w:jc w:val="both"/>
      </w:pPr>
      <w:r>
        <w:t>The institution that builds operational capacity to custody, recognize, and report tokenized loan receivables at scale will not merely serve existing clients better. It will attract the next generation of structured finance participants who demand digital collateral efficiency. A market projected to exceed $3 trillion by decade's end does not need another custodian offering the same paper-based workflow at the same speed. It needs custodians that can operate at the speed of atomic settlement.</w:t>
      </w:r>
    </w:p>
    <w:p w14:paraId="0D75E7A9" w14:textId="77777777" w:rsidR="00781751" w:rsidRDefault="00781751">
      <w:pPr>
        <w:spacing w:after="80"/>
      </w:pPr>
    </w:p>
    <w:p w14:paraId="7F45001A" w14:textId="77777777" w:rsidR="00781751" w:rsidRDefault="00D11CC7">
      <w:pPr>
        <w:pBdr>
          <w:left w:val="thick" w:sz="12" w:space="8" w:color="0E7C7B"/>
        </w:pBdr>
        <w:shd w:val="clear" w:color="auto" w:fill="E8F0FA"/>
        <w:spacing w:before="200" w:after="200"/>
        <w:ind w:left="560" w:right="560"/>
      </w:pPr>
      <w:r>
        <w:rPr>
          <w:i/>
          <w:iCs/>
          <w:color w:val="0A2342"/>
        </w:rPr>
        <w:t>First-mover custodians in digital RWA custody are not taking on a new category of risk. They are capturing a new category of revenue in an expanding market.</w:t>
      </w:r>
    </w:p>
    <w:p w14:paraId="1521F11D" w14:textId="77777777" w:rsidR="00781751" w:rsidRDefault="00781751">
      <w:pPr>
        <w:spacing w:after="80"/>
      </w:pPr>
    </w:p>
    <w:p w14:paraId="522BAF30" w14:textId="77777777" w:rsidR="00781751" w:rsidRDefault="00781751">
      <w:pPr>
        <w:pBdr>
          <w:bottom w:val="single" w:sz="2" w:space="4" w:color="D0D7E2"/>
        </w:pBdr>
        <w:spacing w:before="160" w:after="160"/>
      </w:pPr>
    </w:p>
    <w:p w14:paraId="70ECB37B" w14:textId="77777777" w:rsidR="00781751" w:rsidRDefault="00D11CC7">
      <w:pPr>
        <w:pBdr>
          <w:bottom w:val="single" w:sz="4" w:space="6" w:color="0E7C7B"/>
        </w:pBdr>
        <w:spacing w:before="480" w:after="160"/>
      </w:pPr>
      <w:r>
        <w:rPr>
          <w:b/>
          <w:bCs/>
          <w:caps/>
          <w:color w:val="0A2342"/>
          <w:sz w:val="30"/>
          <w:szCs w:val="30"/>
        </w:rPr>
        <w:t>5.  Use Cases in Production</w:t>
      </w:r>
    </w:p>
    <w:p w14:paraId="43AE56DE" w14:textId="77777777" w:rsidR="00781751" w:rsidRDefault="00D11CC7">
      <w:pPr>
        <w:spacing w:before="320" w:after="120"/>
      </w:pPr>
      <w:proofErr w:type="gramStart"/>
      <w:r>
        <w:rPr>
          <w:b/>
          <w:bCs/>
          <w:color w:val="1A5EA8"/>
          <w:sz w:val="24"/>
          <w:szCs w:val="24"/>
        </w:rPr>
        <w:t>5.1  The</w:t>
      </w:r>
      <w:proofErr w:type="gramEnd"/>
      <w:r>
        <w:rPr>
          <w:b/>
          <w:bCs/>
          <w:color w:val="1A5EA8"/>
          <w:sz w:val="24"/>
          <w:szCs w:val="24"/>
        </w:rPr>
        <w:t xml:space="preserve"> Originator and Dealer Experience</w:t>
      </w:r>
    </w:p>
    <w:p w14:paraId="12474CC1" w14:textId="77777777" w:rsidR="00781751" w:rsidRDefault="00D11CC7">
      <w:pPr>
        <w:spacing w:before="120" w:after="120"/>
        <w:jc w:val="both"/>
      </w:pPr>
      <w:r>
        <w:t>For a regional auto dealer, the current system has one defining characteristic: waiting. Waiting for funding approval. Waiting for wires to clear. Waiting for warehouse line availability to be confirmed. Their business runs on credit, credit runs on cash flow, and cash flow is governed by settlement timelines they cannot control.</w:t>
      </w:r>
    </w:p>
    <w:p w14:paraId="5458543D" w14:textId="77777777" w:rsidR="00781751" w:rsidRDefault="00781751">
      <w:pPr>
        <w:spacing w:after="80"/>
      </w:pPr>
    </w:p>
    <w:p w14:paraId="5BA496FA" w14:textId="77777777" w:rsidR="00781751" w:rsidRDefault="00D11CC7">
      <w:pPr>
        <w:spacing w:before="120" w:after="120"/>
        <w:jc w:val="both"/>
      </w:pPr>
      <w:r>
        <w:t>Consider what Monday morning looks like for a dealership that closed twenty loans on Friday afternoon. In the legacy system, those loans are in transit. The dealer's floor plan is still carrying those vehicles. The capital has not moved. The risk has not transferred. Everyone is waiting for the infrastructure to catch up with the business.</w:t>
      </w:r>
    </w:p>
    <w:p w14:paraId="5440E776" w14:textId="77777777" w:rsidR="00781751" w:rsidRDefault="00781751">
      <w:pPr>
        <w:spacing w:after="80"/>
      </w:pPr>
    </w:p>
    <w:p w14:paraId="58FC7042" w14:textId="77777777" w:rsidR="00781751" w:rsidRDefault="00D11CC7">
      <w:pPr>
        <w:spacing w:before="120" w:after="120"/>
        <w:jc w:val="both"/>
      </w:pPr>
      <w:r>
        <w:t>With real-time tokenized settlement, that Friday afternoon is functionally identical to a Tuesday morning. Loans close, tokenize, and fund in the same motion. The dealer is paid. The warehouse lender's position is updated. The originator's books reflect the transaction before the close of business. And the originator's operational footprint does not change — the underwriting process, the dealer relationship, and the customer experience are unchanged. The only difference is what happens to the loan data afte</w:t>
      </w:r>
      <w:r>
        <w:t>r closing.</w:t>
      </w:r>
    </w:p>
    <w:p w14:paraId="676B7E5F" w14:textId="77777777" w:rsidR="00781751" w:rsidRDefault="00781751">
      <w:pPr>
        <w:spacing w:after="80"/>
      </w:pPr>
    </w:p>
    <w:p w14:paraId="21DC0005" w14:textId="77777777" w:rsidR="00781751" w:rsidRDefault="00D11CC7">
      <w:pPr>
        <w:spacing w:before="320" w:after="120"/>
      </w:pPr>
      <w:proofErr w:type="gramStart"/>
      <w:r>
        <w:rPr>
          <w:b/>
          <w:bCs/>
          <w:color w:val="1A5EA8"/>
          <w:sz w:val="24"/>
          <w:szCs w:val="24"/>
        </w:rPr>
        <w:t>5.2  Case</w:t>
      </w:r>
      <w:proofErr w:type="gramEnd"/>
      <w:r>
        <w:rPr>
          <w:b/>
          <w:bCs/>
          <w:color w:val="1A5EA8"/>
          <w:sz w:val="24"/>
          <w:szCs w:val="24"/>
        </w:rPr>
        <w:t xml:space="preserve"> Study: $25 Million Auto-Loan Pool</w:t>
      </w:r>
    </w:p>
    <w:p w14:paraId="0FF97CD0" w14:textId="77777777" w:rsidR="00781751" w:rsidRDefault="00D11CC7">
      <w:pPr>
        <w:spacing w:before="120" w:after="120"/>
        <w:jc w:val="both"/>
      </w:pPr>
      <w:r>
        <w:t>A regional lender originates a pool through its existing dealer network. Each loan tokenizes at closing, VIN-linked and immediately registered on-chain. Servicing data streams from Day One. When the lender lists the tokens on the regulated trading system, investors receive real-time, verified performance data — not a static offering memorandum prepared weeks after origination. Because information asymmetry has been structurally eliminated, the loans trade at tighter spreads. The warehouse line revolves fast</w:t>
      </w:r>
      <w:r>
        <w:t>er.</w:t>
      </w:r>
    </w:p>
    <w:p w14:paraId="7135E57E" w14:textId="77777777" w:rsidR="00781751" w:rsidRDefault="00781751">
      <w:pPr>
        <w:spacing w:after="80"/>
      </w:pPr>
    </w:p>
    <w:p w14:paraId="3BB1F9E0" w14:textId="77777777" w:rsidR="00781751" w:rsidRDefault="00D11CC7">
      <w:pPr>
        <w:spacing w:before="320" w:after="120"/>
      </w:pPr>
      <w:proofErr w:type="gramStart"/>
      <w:r>
        <w:rPr>
          <w:b/>
          <w:bCs/>
          <w:color w:val="1A5EA8"/>
          <w:sz w:val="24"/>
          <w:szCs w:val="24"/>
        </w:rPr>
        <w:t>5.3  Case</w:t>
      </w:r>
      <w:proofErr w:type="gramEnd"/>
      <w:r>
        <w:rPr>
          <w:b/>
          <w:bCs/>
          <w:color w:val="1A5EA8"/>
          <w:sz w:val="24"/>
          <w:szCs w:val="24"/>
        </w:rPr>
        <w:t xml:space="preserve"> Study: $250 Million Multi-Bank Consortium</w:t>
      </w:r>
    </w:p>
    <w:p w14:paraId="35CBDDD1" w14:textId="07BFBF00" w:rsidR="00781751" w:rsidRDefault="00D11CC7">
      <w:pPr>
        <w:spacing w:before="120" w:after="120"/>
        <w:jc w:val="both"/>
      </w:pPr>
      <w:r>
        <w:t>Multiple community banks contribute loan pools under standardized digital documentation. The composite security tranches into senior, mezzanine, and equity layers, each tokenized and distributed to institutional investors. The distributed ledger executes cash waterfalls — interest, principal, prepayments — automatically via smart contract, without manual trustee instruction. No reconciliation spreadsheets. No disputed allocation calculations. Fully regulator-accessible in real time. That is multi-institutio</w:t>
      </w:r>
      <w:r>
        <w:t xml:space="preserve">n syndication as it should function in 2026. Liquidity.io </w:t>
      </w:r>
      <w:r w:rsidR="00AB5DCA">
        <w:t xml:space="preserve">can </w:t>
      </w:r>
      <w:r>
        <w:t>power</w:t>
      </w:r>
      <w:r w:rsidR="00AB5DCA">
        <w:t xml:space="preserve"> this</w:t>
      </w:r>
      <w:r>
        <w:t xml:space="preserve"> </w:t>
      </w:r>
      <w:r>
        <w:t>today.</w:t>
      </w:r>
    </w:p>
    <w:p w14:paraId="690973CA" w14:textId="77777777" w:rsidR="00781751" w:rsidRDefault="00781751">
      <w:pPr>
        <w:spacing w:after="80"/>
      </w:pPr>
    </w:p>
    <w:p w14:paraId="2AABF68F" w14:textId="77777777" w:rsidR="00781751" w:rsidRDefault="00781751">
      <w:pPr>
        <w:pBdr>
          <w:bottom w:val="single" w:sz="2" w:space="4" w:color="D0D7E2"/>
        </w:pBdr>
        <w:spacing w:before="160" w:after="160"/>
      </w:pPr>
    </w:p>
    <w:p w14:paraId="221E8E30" w14:textId="77777777" w:rsidR="00781751" w:rsidRDefault="00D11CC7">
      <w:pPr>
        <w:pBdr>
          <w:bottom w:val="single" w:sz="4" w:space="6" w:color="0E7C7B"/>
        </w:pBdr>
        <w:spacing w:before="480" w:after="160"/>
      </w:pPr>
      <w:r>
        <w:rPr>
          <w:b/>
          <w:bCs/>
          <w:caps/>
          <w:color w:val="0A2342"/>
          <w:sz w:val="30"/>
          <w:szCs w:val="30"/>
        </w:rPr>
        <w:t>6.  Quantified Benefits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94"/>
        <w:gridCol w:w="4966"/>
      </w:tblGrid>
      <w:tr w:rsidR="00781751" w14:paraId="00E398AE"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0A2342"/>
            <w:tcMar>
              <w:top w:w="120" w:type="dxa"/>
              <w:left w:w="200" w:type="dxa"/>
              <w:bottom w:w="120" w:type="dxa"/>
              <w:right w:w="200" w:type="dxa"/>
            </w:tcMar>
          </w:tcPr>
          <w:p w14:paraId="094190CC" w14:textId="77777777" w:rsidR="00781751" w:rsidRDefault="00D11CC7">
            <w:r>
              <w:rPr>
                <w:b/>
                <w:bCs/>
                <w:color w:val="FFFFFF"/>
              </w:rPr>
              <w:t>Metric</w:t>
            </w:r>
          </w:p>
        </w:tc>
        <w:tc>
          <w:tcPr>
            <w:tcW w:w="0" w:type="auto"/>
            <w:tcBorders>
              <w:top w:val="single" w:sz="1" w:space="0" w:color="D0D7E2"/>
              <w:left w:val="single" w:sz="1" w:space="0" w:color="D0D7E2"/>
              <w:bottom w:val="single" w:sz="1" w:space="0" w:color="D0D7E2"/>
              <w:right w:val="single" w:sz="1" w:space="0" w:color="D0D7E2"/>
            </w:tcBorders>
            <w:shd w:val="clear" w:color="auto" w:fill="0A2342"/>
            <w:tcMar>
              <w:top w:w="120" w:type="dxa"/>
              <w:left w:w="200" w:type="dxa"/>
              <w:bottom w:w="120" w:type="dxa"/>
              <w:right w:w="200" w:type="dxa"/>
            </w:tcMar>
          </w:tcPr>
          <w:p w14:paraId="335C8EEB" w14:textId="77777777" w:rsidR="00781751" w:rsidRDefault="00D11CC7">
            <w:r>
              <w:rPr>
                <w:b/>
                <w:bCs/>
                <w:color w:val="FFFFFF"/>
              </w:rPr>
              <w:t>Value / Impact</w:t>
            </w:r>
          </w:p>
        </w:tc>
      </w:tr>
      <w:tr w:rsidR="00781751" w14:paraId="0EEEF3C9"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100" w:type="dxa"/>
              <w:left w:w="200" w:type="dxa"/>
              <w:bottom w:w="100" w:type="dxa"/>
              <w:right w:w="200" w:type="dxa"/>
            </w:tcMar>
          </w:tcPr>
          <w:p w14:paraId="3664ED61" w14:textId="77777777" w:rsidR="00781751" w:rsidRDefault="00D11CC7">
            <w:r>
              <w:rPr>
                <w:b/>
                <w:bCs/>
                <w:sz w:val="21"/>
                <w:szCs w:val="21"/>
              </w:rPr>
              <w:t>Settlement cycle</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100" w:type="dxa"/>
              <w:left w:w="200" w:type="dxa"/>
              <w:bottom w:w="100" w:type="dxa"/>
              <w:right w:w="200" w:type="dxa"/>
            </w:tcMar>
          </w:tcPr>
          <w:p w14:paraId="58F3757C" w14:textId="77777777" w:rsidR="00781751" w:rsidRDefault="00D11CC7">
            <w:r>
              <w:rPr>
                <w:sz w:val="21"/>
                <w:szCs w:val="21"/>
              </w:rPr>
              <w:t>2–5 business days → 8 seconds</w:t>
            </w:r>
          </w:p>
        </w:tc>
      </w:tr>
      <w:tr w:rsidR="00781751" w14:paraId="53DA8D94"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4F6F9"/>
            <w:tcMar>
              <w:top w:w="100" w:type="dxa"/>
              <w:left w:w="200" w:type="dxa"/>
              <w:bottom w:w="100" w:type="dxa"/>
              <w:right w:w="200" w:type="dxa"/>
            </w:tcMar>
          </w:tcPr>
          <w:p w14:paraId="000B226A" w14:textId="77777777" w:rsidR="00781751" w:rsidRDefault="00D11CC7">
            <w:r>
              <w:rPr>
                <w:b/>
                <w:bCs/>
                <w:sz w:val="21"/>
                <w:szCs w:val="21"/>
              </w:rPr>
              <w:t>Post-trade reconciliation cost</w:t>
            </w:r>
          </w:p>
        </w:tc>
        <w:tc>
          <w:tcPr>
            <w:tcW w:w="0" w:type="auto"/>
            <w:tcBorders>
              <w:top w:val="single" w:sz="1" w:space="0" w:color="D0D7E2"/>
              <w:left w:val="single" w:sz="1" w:space="0" w:color="D0D7E2"/>
              <w:bottom w:val="single" w:sz="1" w:space="0" w:color="D0D7E2"/>
              <w:right w:val="single" w:sz="1" w:space="0" w:color="D0D7E2"/>
            </w:tcBorders>
            <w:shd w:val="clear" w:color="auto" w:fill="F4F6F9"/>
            <w:tcMar>
              <w:top w:w="100" w:type="dxa"/>
              <w:left w:w="200" w:type="dxa"/>
              <w:bottom w:w="100" w:type="dxa"/>
              <w:right w:w="200" w:type="dxa"/>
            </w:tcMar>
          </w:tcPr>
          <w:p w14:paraId="4633FF6B" w14:textId="77777777" w:rsidR="00781751" w:rsidRDefault="00D11CC7">
            <w:r>
              <w:rPr>
                <w:sz w:val="21"/>
                <w:szCs w:val="21"/>
              </w:rPr>
              <w:t>30–40% of ops spend eliminated</w:t>
            </w:r>
          </w:p>
        </w:tc>
      </w:tr>
      <w:tr w:rsidR="00781751" w14:paraId="2F46358D"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100" w:type="dxa"/>
              <w:left w:w="200" w:type="dxa"/>
              <w:bottom w:w="100" w:type="dxa"/>
              <w:right w:w="200" w:type="dxa"/>
            </w:tcMar>
          </w:tcPr>
          <w:p w14:paraId="027648DA" w14:textId="77777777" w:rsidR="00781751" w:rsidRDefault="00D11CC7">
            <w:r>
              <w:rPr>
                <w:b/>
                <w:bCs/>
                <w:sz w:val="21"/>
                <w:szCs w:val="21"/>
              </w:rPr>
              <w:t>Counterparty exposure window</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100" w:type="dxa"/>
              <w:left w:w="200" w:type="dxa"/>
              <w:bottom w:w="100" w:type="dxa"/>
              <w:right w:w="200" w:type="dxa"/>
            </w:tcMar>
          </w:tcPr>
          <w:p w14:paraId="0ED57DC2" w14:textId="77777777" w:rsidR="00781751" w:rsidRDefault="00D11CC7">
            <w:r>
              <w:rPr>
                <w:sz w:val="21"/>
                <w:szCs w:val="21"/>
              </w:rPr>
              <w:t>Eliminated (atomic settlement)</w:t>
            </w:r>
          </w:p>
        </w:tc>
      </w:tr>
      <w:tr w:rsidR="00781751" w14:paraId="1B0354A5"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4F6F9"/>
            <w:tcMar>
              <w:top w:w="100" w:type="dxa"/>
              <w:left w:w="200" w:type="dxa"/>
              <w:bottom w:w="100" w:type="dxa"/>
              <w:right w:w="200" w:type="dxa"/>
            </w:tcMar>
          </w:tcPr>
          <w:p w14:paraId="338123F0" w14:textId="77777777" w:rsidR="00781751" w:rsidRDefault="00D11CC7">
            <w:r>
              <w:rPr>
                <w:b/>
                <w:bCs/>
                <w:sz w:val="21"/>
                <w:szCs w:val="21"/>
              </w:rPr>
              <w:t>Spread compression on verified pools</w:t>
            </w:r>
          </w:p>
        </w:tc>
        <w:tc>
          <w:tcPr>
            <w:tcW w:w="0" w:type="auto"/>
            <w:tcBorders>
              <w:top w:val="single" w:sz="1" w:space="0" w:color="D0D7E2"/>
              <w:left w:val="single" w:sz="1" w:space="0" w:color="D0D7E2"/>
              <w:bottom w:val="single" w:sz="1" w:space="0" w:color="D0D7E2"/>
              <w:right w:val="single" w:sz="1" w:space="0" w:color="D0D7E2"/>
            </w:tcBorders>
            <w:shd w:val="clear" w:color="auto" w:fill="F4F6F9"/>
            <w:tcMar>
              <w:top w:w="100" w:type="dxa"/>
              <w:left w:w="200" w:type="dxa"/>
              <w:bottom w:w="100" w:type="dxa"/>
              <w:right w:w="200" w:type="dxa"/>
            </w:tcMar>
          </w:tcPr>
          <w:p w14:paraId="7C4C6D20" w14:textId="77777777" w:rsidR="00781751" w:rsidRDefault="00D11CC7">
            <w:r>
              <w:rPr>
                <w:sz w:val="21"/>
                <w:szCs w:val="21"/>
              </w:rPr>
              <w:t>50–100 basis points</w:t>
            </w:r>
          </w:p>
        </w:tc>
      </w:tr>
      <w:tr w:rsidR="00781751" w14:paraId="34A291D6"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100" w:type="dxa"/>
              <w:left w:w="200" w:type="dxa"/>
              <w:bottom w:w="100" w:type="dxa"/>
              <w:right w:w="200" w:type="dxa"/>
            </w:tcMar>
          </w:tcPr>
          <w:p w14:paraId="69D306B2" w14:textId="77777777" w:rsidR="00781751" w:rsidRDefault="00D11CC7">
            <w:r>
              <w:rPr>
                <w:b/>
                <w:bCs/>
                <w:sz w:val="21"/>
                <w:szCs w:val="21"/>
              </w:rPr>
              <w:t>Collateral verification lag</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100" w:type="dxa"/>
              <w:left w:w="200" w:type="dxa"/>
              <w:bottom w:w="100" w:type="dxa"/>
              <w:right w:w="200" w:type="dxa"/>
            </w:tcMar>
          </w:tcPr>
          <w:p w14:paraId="5FB4C2D0" w14:textId="77777777" w:rsidR="00781751" w:rsidRDefault="00D11CC7">
            <w:r>
              <w:rPr>
                <w:sz w:val="21"/>
                <w:szCs w:val="21"/>
              </w:rPr>
              <w:t>5–7 days → Day Zero</w:t>
            </w:r>
          </w:p>
        </w:tc>
      </w:tr>
      <w:tr w:rsidR="00781751" w14:paraId="521C427E"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4F6F9"/>
            <w:tcMar>
              <w:top w:w="100" w:type="dxa"/>
              <w:left w:w="200" w:type="dxa"/>
              <w:bottom w:w="100" w:type="dxa"/>
              <w:right w:w="200" w:type="dxa"/>
            </w:tcMar>
          </w:tcPr>
          <w:p w14:paraId="5BC18446" w14:textId="77777777" w:rsidR="00781751" w:rsidRDefault="00D11CC7">
            <w:r>
              <w:rPr>
                <w:b/>
                <w:bCs/>
                <w:sz w:val="21"/>
                <w:szCs w:val="21"/>
              </w:rPr>
              <w:t>Annual value recovered ($2B originator)</w:t>
            </w:r>
          </w:p>
        </w:tc>
        <w:tc>
          <w:tcPr>
            <w:tcW w:w="0" w:type="auto"/>
            <w:tcBorders>
              <w:top w:val="single" w:sz="1" w:space="0" w:color="D0D7E2"/>
              <w:left w:val="single" w:sz="1" w:space="0" w:color="D0D7E2"/>
              <w:bottom w:val="single" w:sz="1" w:space="0" w:color="D0D7E2"/>
              <w:right w:val="single" w:sz="1" w:space="0" w:color="D0D7E2"/>
            </w:tcBorders>
            <w:shd w:val="clear" w:color="auto" w:fill="F4F6F9"/>
            <w:tcMar>
              <w:top w:w="100" w:type="dxa"/>
              <w:left w:w="200" w:type="dxa"/>
              <w:bottom w:w="100" w:type="dxa"/>
              <w:right w:w="200" w:type="dxa"/>
            </w:tcMar>
          </w:tcPr>
          <w:p w14:paraId="29FC60DA" w14:textId="77777777" w:rsidR="00781751" w:rsidRDefault="00D11CC7">
            <w:r>
              <w:rPr>
                <w:sz w:val="21"/>
                <w:szCs w:val="21"/>
              </w:rPr>
              <w:t>$6.13 million</w:t>
            </w:r>
          </w:p>
        </w:tc>
      </w:tr>
      <w:tr w:rsidR="00781751" w14:paraId="61A8CF4D"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100" w:type="dxa"/>
              <w:left w:w="200" w:type="dxa"/>
              <w:bottom w:w="100" w:type="dxa"/>
              <w:right w:w="200" w:type="dxa"/>
            </w:tcMar>
          </w:tcPr>
          <w:p w14:paraId="212FB790" w14:textId="77777777" w:rsidR="00781751" w:rsidRDefault="00D11CC7">
            <w:r>
              <w:rPr>
                <w:b/>
                <w:bCs/>
                <w:sz w:val="21"/>
                <w:szCs w:val="21"/>
              </w:rPr>
              <w:t>ROE improvement</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100" w:type="dxa"/>
              <w:left w:w="200" w:type="dxa"/>
              <w:bottom w:w="100" w:type="dxa"/>
              <w:right w:w="200" w:type="dxa"/>
            </w:tcMar>
          </w:tcPr>
          <w:p w14:paraId="3EA1D658" w14:textId="77777777" w:rsidR="00781751" w:rsidRDefault="00D11CC7">
            <w:r>
              <w:rPr>
                <w:sz w:val="21"/>
                <w:szCs w:val="21"/>
              </w:rPr>
              <w:t>11.5% → 12.8%</w:t>
            </w:r>
          </w:p>
        </w:tc>
      </w:tr>
      <w:tr w:rsidR="00781751" w14:paraId="47FF2EEB"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4F6F9"/>
            <w:tcMar>
              <w:top w:w="100" w:type="dxa"/>
              <w:left w:w="200" w:type="dxa"/>
              <w:bottom w:w="100" w:type="dxa"/>
              <w:right w:w="200" w:type="dxa"/>
            </w:tcMar>
          </w:tcPr>
          <w:p w14:paraId="242594F1" w14:textId="77777777" w:rsidR="00781751" w:rsidRDefault="00D11CC7">
            <w:r>
              <w:rPr>
                <w:b/>
                <w:bCs/>
                <w:sz w:val="21"/>
                <w:szCs w:val="21"/>
              </w:rPr>
              <w:t>Fraud prevention mechanism</w:t>
            </w:r>
          </w:p>
        </w:tc>
        <w:tc>
          <w:tcPr>
            <w:tcW w:w="0" w:type="auto"/>
            <w:tcBorders>
              <w:top w:val="single" w:sz="1" w:space="0" w:color="D0D7E2"/>
              <w:left w:val="single" w:sz="1" w:space="0" w:color="D0D7E2"/>
              <w:bottom w:val="single" w:sz="1" w:space="0" w:color="D0D7E2"/>
              <w:right w:val="single" w:sz="1" w:space="0" w:color="D0D7E2"/>
            </w:tcBorders>
            <w:shd w:val="clear" w:color="auto" w:fill="F4F6F9"/>
            <w:tcMar>
              <w:top w:w="100" w:type="dxa"/>
              <w:left w:w="200" w:type="dxa"/>
              <w:bottom w:w="100" w:type="dxa"/>
              <w:right w:w="200" w:type="dxa"/>
            </w:tcMar>
          </w:tcPr>
          <w:p w14:paraId="50CF9E77" w14:textId="77777777" w:rsidR="00781751" w:rsidRDefault="00D11CC7">
            <w:r>
              <w:rPr>
                <w:sz w:val="21"/>
                <w:szCs w:val="21"/>
              </w:rPr>
              <w:t>Architectural uniqueness (mathematical)</w:t>
            </w:r>
          </w:p>
        </w:tc>
      </w:tr>
      <w:tr w:rsidR="00781751" w14:paraId="2E4CCAE8"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100" w:type="dxa"/>
              <w:left w:w="200" w:type="dxa"/>
              <w:bottom w:w="100" w:type="dxa"/>
              <w:right w:w="200" w:type="dxa"/>
            </w:tcMar>
          </w:tcPr>
          <w:p w14:paraId="23B7D898" w14:textId="77777777" w:rsidR="00781751" w:rsidRDefault="00D11CC7">
            <w:r>
              <w:rPr>
                <w:b/>
                <w:bCs/>
                <w:sz w:val="21"/>
                <w:szCs w:val="21"/>
              </w:rPr>
              <w:t>Regulatory audit response</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100" w:type="dxa"/>
              <w:left w:w="200" w:type="dxa"/>
              <w:bottom w:w="100" w:type="dxa"/>
              <w:right w:w="200" w:type="dxa"/>
            </w:tcMar>
          </w:tcPr>
          <w:p w14:paraId="5EFD1649" w14:textId="77777777" w:rsidR="00781751" w:rsidRDefault="00D11CC7">
            <w:r>
              <w:rPr>
                <w:sz w:val="21"/>
                <w:szCs w:val="21"/>
              </w:rPr>
              <w:t>Real-time ledger query vs. quarterly report</w:t>
            </w:r>
          </w:p>
        </w:tc>
      </w:tr>
      <w:tr w:rsidR="00781751" w14:paraId="1E2BAC4B"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4F6F9"/>
            <w:tcMar>
              <w:top w:w="100" w:type="dxa"/>
              <w:left w:w="200" w:type="dxa"/>
              <w:bottom w:w="100" w:type="dxa"/>
              <w:right w:w="200" w:type="dxa"/>
            </w:tcMar>
          </w:tcPr>
          <w:p w14:paraId="5310FEB2" w14:textId="77777777" w:rsidR="00781751" w:rsidRDefault="00D11CC7">
            <w:r>
              <w:rPr>
                <w:b/>
                <w:bCs/>
                <w:sz w:val="21"/>
                <w:szCs w:val="21"/>
              </w:rPr>
              <w:t>Lifecycle automation</w:t>
            </w:r>
          </w:p>
        </w:tc>
        <w:tc>
          <w:tcPr>
            <w:tcW w:w="0" w:type="auto"/>
            <w:tcBorders>
              <w:top w:val="single" w:sz="1" w:space="0" w:color="D0D7E2"/>
              <w:left w:val="single" w:sz="1" w:space="0" w:color="D0D7E2"/>
              <w:bottom w:val="single" w:sz="1" w:space="0" w:color="D0D7E2"/>
              <w:right w:val="single" w:sz="1" w:space="0" w:color="D0D7E2"/>
            </w:tcBorders>
            <w:shd w:val="clear" w:color="auto" w:fill="F4F6F9"/>
            <w:tcMar>
              <w:top w:w="100" w:type="dxa"/>
              <w:left w:w="200" w:type="dxa"/>
              <w:bottom w:w="100" w:type="dxa"/>
              <w:right w:w="200" w:type="dxa"/>
            </w:tcMar>
          </w:tcPr>
          <w:p w14:paraId="4E07D964" w14:textId="77777777" w:rsidR="00781751" w:rsidRDefault="00D11CC7">
            <w:r>
              <w:rPr>
                <w:sz w:val="21"/>
                <w:szCs w:val="21"/>
              </w:rPr>
              <w:t>Smart contracts — zero manual cashflow posting</w:t>
            </w:r>
          </w:p>
        </w:tc>
      </w:tr>
    </w:tbl>
    <w:p w14:paraId="0C7D805B" w14:textId="77777777" w:rsidR="00781751" w:rsidRDefault="00781751">
      <w:pPr>
        <w:spacing w:after="80"/>
      </w:pPr>
    </w:p>
    <w:p w14:paraId="45B1E4FF" w14:textId="77777777" w:rsidR="00781751" w:rsidRDefault="00D11CC7">
      <w:pPr>
        <w:spacing w:before="120" w:after="120"/>
        <w:jc w:val="both"/>
      </w:pPr>
      <w:r>
        <w:t>Better data does not remove credit risk. It removes opacity-driven risk premium. When opacity is removed, markets expand, spreads compress, and capital flows more efficiently to the borrowers who need it.</w:t>
      </w:r>
    </w:p>
    <w:p w14:paraId="54AADE7B" w14:textId="77777777" w:rsidR="00781751" w:rsidRDefault="00781751">
      <w:pPr>
        <w:spacing w:after="80"/>
      </w:pPr>
    </w:p>
    <w:p w14:paraId="3A25F857" w14:textId="77777777" w:rsidR="00781751" w:rsidRDefault="00781751">
      <w:pPr>
        <w:pBdr>
          <w:bottom w:val="single" w:sz="2" w:space="4" w:color="D0D7E2"/>
        </w:pBdr>
        <w:spacing w:before="160" w:after="160"/>
      </w:pPr>
    </w:p>
    <w:p w14:paraId="5DB4EB69" w14:textId="77777777" w:rsidR="00781751" w:rsidRDefault="00D11CC7">
      <w:pPr>
        <w:pBdr>
          <w:bottom w:val="single" w:sz="4" w:space="6" w:color="0E7C7B"/>
        </w:pBdr>
        <w:spacing w:before="480" w:after="160"/>
      </w:pPr>
      <w:r>
        <w:rPr>
          <w:b/>
          <w:bCs/>
          <w:caps/>
          <w:color w:val="0A2342"/>
          <w:sz w:val="30"/>
          <w:szCs w:val="30"/>
        </w:rPr>
        <w:t>7.  Regulatory Framework</w:t>
      </w:r>
    </w:p>
    <w:p w14:paraId="00B7F1C4" w14:textId="77777777" w:rsidR="00781751" w:rsidRDefault="00D11CC7">
      <w:pPr>
        <w:spacing w:before="120" w:after="120"/>
        <w:jc w:val="both"/>
      </w:pPr>
      <w:r>
        <w:t xml:space="preserve">Regulatory alignment is not a feature of </w:t>
      </w:r>
      <w:proofErr w:type="spellStart"/>
      <w:r>
        <w:t>Liquidity.io's</w:t>
      </w:r>
      <w:proofErr w:type="spellEnd"/>
      <w:r>
        <w:t xml:space="preserve"> platform. It is the architecture. Every design decision is made within existing frameworks, not </w:t>
      </w:r>
      <w:proofErr w:type="gramStart"/>
      <w:r>
        <w:t>in spite of</w:t>
      </w:r>
      <w:proofErr w:type="gramEnd"/>
      <w:r>
        <w:t xml:space="preserve"> them.</w:t>
      </w:r>
    </w:p>
    <w:p w14:paraId="2BC29EC8" w14:textId="77777777" w:rsidR="00781751" w:rsidRDefault="00781751">
      <w:pPr>
        <w:spacing w:after="80"/>
      </w:pPr>
    </w:p>
    <w:p w14:paraId="6452296F" w14:textId="77777777" w:rsidR="00781751" w:rsidRDefault="00D11CC7">
      <w:pPr>
        <w:spacing w:before="80" w:after="80"/>
        <w:ind w:left="480" w:hanging="280"/>
      </w:pPr>
      <w:proofErr w:type="gramStart"/>
      <w:r>
        <w:rPr>
          <w:color w:val="0E7C7B"/>
          <w:sz w:val="20"/>
          <w:szCs w:val="20"/>
        </w:rPr>
        <w:t xml:space="preserve">◆  </w:t>
      </w:r>
      <w:r>
        <w:rPr>
          <w:b/>
          <w:bCs/>
        </w:rPr>
        <w:t>AML</w:t>
      </w:r>
      <w:proofErr w:type="gramEnd"/>
      <w:r>
        <w:rPr>
          <w:b/>
          <w:bCs/>
        </w:rPr>
        <w:t xml:space="preserve"> / BSA / OFAC </w:t>
      </w:r>
      <w:r>
        <w:t>All participants onboarded within existing frameworks. KYB, KYC, and beneficial ownership verification are embedded, not appended.</w:t>
      </w:r>
    </w:p>
    <w:p w14:paraId="3F0C774E" w14:textId="77777777" w:rsidR="00781751" w:rsidRDefault="00D11CC7">
      <w:pPr>
        <w:spacing w:before="80" w:after="80"/>
        <w:ind w:left="480" w:hanging="280"/>
      </w:pPr>
      <w:proofErr w:type="gramStart"/>
      <w:r>
        <w:rPr>
          <w:color w:val="0E7C7B"/>
          <w:sz w:val="20"/>
          <w:szCs w:val="20"/>
        </w:rPr>
        <w:t xml:space="preserve">◆  </w:t>
      </w:r>
      <w:r>
        <w:rPr>
          <w:b/>
          <w:bCs/>
        </w:rPr>
        <w:t>ATS</w:t>
      </w:r>
      <w:proofErr w:type="gramEnd"/>
      <w:r>
        <w:rPr>
          <w:b/>
          <w:bCs/>
        </w:rPr>
        <w:t xml:space="preserve"> Registration </w:t>
      </w:r>
      <w:r>
        <w:t>All transactions execute on a registered Alternative Trading System under SEC and FINRA oversight.</w:t>
      </w:r>
    </w:p>
    <w:p w14:paraId="5C49C3C0" w14:textId="77777777" w:rsidR="00781751" w:rsidRDefault="00D11CC7">
      <w:pPr>
        <w:spacing w:before="80" w:after="80"/>
        <w:ind w:left="480" w:hanging="280"/>
      </w:pPr>
      <w:proofErr w:type="gramStart"/>
      <w:r>
        <w:rPr>
          <w:color w:val="0E7C7B"/>
          <w:sz w:val="20"/>
          <w:szCs w:val="20"/>
        </w:rPr>
        <w:t xml:space="preserve">◆  </w:t>
      </w:r>
      <w:r>
        <w:rPr>
          <w:b/>
          <w:bCs/>
        </w:rPr>
        <w:t>UCC</w:t>
      </w:r>
      <w:proofErr w:type="gramEnd"/>
      <w:r>
        <w:rPr>
          <w:b/>
          <w:bCs/>
        </w:rPr>
        <w:t xml:space="preserve"> Article 12 </w:t>
      </w:r>
      <w:r>
        <w:t>Governs controllable electronic records — establishes legal equivalence between cryptographic tokens and paper instruments for perfected lien purposes.</w:t>
      </w:r>
    </w:p>
    <w:p w14:paraId="14E7837B" w14:textId="77777777" w:rsidR="00781751" w:rsidRDefault="00D11CC7">
      <w:pPr>
        <w:spacing w:before="80" w:after="80"/>
        <w:ind w:left="480" w:hanging="280"/>
      </w:pPr>
      <w:proofErr w:type="gramStart"/>
      <w:r>
        <w:rPr>
          <w:color w:val="0E7C7B"/>
          <w:sz w:val="20"/>
          <w:szCs w:val="20"/>
        </w:rPr>
        <w:t xml:space="preserve">◆  </w:t>
      </w:r>
      <w:r>
        <w:rPr>
          <w:b/>
          <w:bCs/>
        </w:rPr>
        <w:t>OCC</w:t>
      </w:r>
      <w:proofErr w:type="gramEnd"/>
      <w:r>
        <w:rPr>
          <w:b/>
          <w:bCs/>
        </w:rPr>
        <w:t xml:space="preserve"> Letters 1170 and 1174 </w:t>
      </w:r>
      <w:r>
        <w:t>Affirm federally chartered bank authority to custody digital assets within sound legal and compliance frameworks.</w:t>
      </w:r>
    </w:p>
    <w:p w14:paraId="10ABBA49" w14:textId="77777777" w:rsidR="00781751" w:rsidRDefault="00D11CC7">
      <w:pPr>
        <w:spacing w:before="80" w:after="80"/>
        <w:ind w:left="480" w:hanging="280"/>
      </w:pPr>
      <w:proofErr w:type="gramStart"/>
      <w:r>
        <w:rPr>
          <w:color w:val="0E7C7B"/>
          <w:sz w:val="20"/>
          <w:szCs w:val="20"/>
        </w:rPr>
        <w:t xml:space="preserve">◆  </w:t>
      </w:r>
      <w:r>
        <w:rPr>
          <w:b/>
          <w:bCs/>
        </w:rPr>
        <w:t>ASC</w:t>
      </w:r>
      <w:proofErr w:type="gramEnd"/>
      <w:r>
        <w:rPr>
          <w:b/>
          <w:bCs/>
        </w:rPr>
        <w:t xml:space="preserve"> 310 </w:t>
      </w:r>
      <w:r>
        <w:t>Provides the GAAP foundation for recognizing tokenized receivables as financial assets on bank balance sheets.</w:t>
      </w:r>
    </w:p>
    <w:p w14:paraId="271649A1" w14:textId="77777777" w:rsidR="00781751" w:rsidRDefault="00D11CC7">
      <w:pPr>
        <w:spacing w:before="80" w:after="80"/>
        <w:ind w:left="480" w:hanging="280"/>
      </w:pPr>
      <w:proofErr w:type="gramStart"/>
      <w:r>
        <w:rPr>
          <w:color w:val="0E7C7B"/>
          <w:sz w:val="20"/>
          <w:szCs w:val="20"/>
        </w:rPr>
        <w:t xml:space="preserve">◆  </w:t>
      </w:r>
      <w:r>
        <w:rPr>
          <w:b/>
          <w:bCs/>
        </w:rPr>
        <w:t>Federal</w:t>
      </w:r>
      <w:proofErr w:type="gramEnd"/>
      <w:r>
        <w:rPr>
          <w:b/>
          <w:bCs/>
        </w:rPr>
        <w:t xml:space="preserve"> Reserve Novel Activities Guidance </w:t>
      </w:r>
      <w:r>
        <w:t>Establishes a supervisory posture of structured engagement — not prohibition — for institutions operating in digital asset markets.</w:t>
      </w:r>
    </w:p>
    <w:p w14:paraId="1D13676D" w14:textId="77777777" w:rsidR="00781751" w:rsidRDefault="00781751">
      <w:pPr>
        <w:spacing w:after="80"/>
      </w:pPr>
    </w:p>
    <w:p w14:paraId="0C739472" w14:textId="77777777" w:rsidR="00781751" w:rsidRDefault="00D11CC7">
      <w:pPr>
        <w:spacing w:before="120" w:after="120"/>
        <w:jc w:val="both"/>
      </w:pPr>
      <w:r>
        <w:t xml:space="preserve">When supervisors evaluate </w:t>
      </w:r>
      <w:proofErr w:type="spellStart"/>
      <w:r>
        <w:t>Liquidity.io's</w:t>
      </w:r>
      <w:proofErr w:type="spellEnd"/>
      <w:r>
        <w:t xml:space="preserve"> infrastructure, they increasingly view it not as a threat to oversight but as an enhancement of it. Real-time, ledger-based data is precisely what Basel reforms always envisioned and what technology could not previously deliver. Compliance becomes observable. Risk becomes data. The principle remains the same — only the medium changes.</w:t>
      </w:r>
    </w:p>
    <w:p w14:paraId="491296B5" w14:textId="77777777" w:rsidR="00781751" w:rsidRDefault="00781751">
      <w:pPr>
        <w:spacing w:after="80"/>
      </w:pPr>
    </w:p>
    <w:p w14:paraId="692C678E" w14:textId="77777777" w:rsidR="00781751" w:rsidRDefault="00781751">
      <w:pPr>
        <w:pBdr>
          <w:bottom w:val="single" w:sz="2" w:space="4" w:color="D0D7E2"/>
        </w:pBdr>
        <w:spacing w:before="160" w:after="160"/>
      </w:pPr>
    </w:p>
    <w:p w14:paraId="678DAF90" w14:textId="77777777" w:rsidR="00781751" w:rsidRDefault="00D11CC7">
      <w:pPr>
        <w:pBdr>
          <w:bottom w:val="single" w:sz="4" w:space="6" w:color="0E7C7B"/>
        </w:pBdr>
        <w:spacing w:before="480" w:after="160"/>
      </w:pPr>
      <w:r>
        <w:rPr>
          <w:b/>
          <w:bCs/>
          <w:caps/>
          <w:color w:val="0A2342"/>
          <w:sz w:val="30"/>
          <w:szCs w:val="30"/>
        </w:rPr>
        <w:t>8.  The Macro Opportunity</w:t>
      </w:r>
    </w:p>
    <w:p w14:paraId="4195269E" w14:textId="77777777" w:rsidR="00781751" w:rsidRDefault="00D11CC7">
      <w:pPr>
        <w:spacing w:before="120" w:after="120"/>
        <w:jc w:val="both"/>
      </w:pPr>
      <w:r>
        <w:t>The global private credit market exceeds $1.7 trillion today and is projected to surpass $3 trillion by decade's end. That growth is constrained not by investor appetite but by the operational bottlenecks, information asymmetries, and settlement friction that tokenization eliminates.</w:t>
      </w:r>
    </w:p>
    <w:p w14:paraId="11F7462E" w14:textId="77777777" w:rsidR="00781751" w:rsidRDefault="00781751">
      <w:pPr>
        <w:spacing w:after="80"/>
      </w:pPr>
    </w:p>
    <w:p w14:paraId="564C10D3" w14:textId="77777777" w:rsidR="00781751" w:rsidRDefault="00D11CC7">
      <w:pPr>
        <w:spacing w:before="120" w:after="120"/>
        <w:jc w:val="both"/>
      </w:pPr>
      <w:r>
        <w:t>The cost of that friction falls hardest on three groups: community banks and regional lenders who originate high-quality loans but lack the scale to access institutional capital efficiently; pension funds and insurers that want consumer and commercial credit exposure but cannot get adequate data quality or settlement infrastructure; and ultimately borrowers — car buyers, equipment operators, small businesses — who pay higher rates because capital that could serve them is trapped behind operational barriers.</w:t>
      </w:r>
    </w:p>
    <w:p w14:paraId="3F2E5EBF" w14:textId="77777777" w:rsidR="00781751" w:rsidRDefault="00781751">
      <w:pPr>
        <w:spacing w:after="80"/>
      </w:pPr>
    </w:p>
    <w:p w14:paraId="70F59508" w14:textId="77777777" w:rsidR="00781751" w:rsidRDefault="00D11CC7">
      <w:pPr>
        <w:spacing w:before="120" w:after="120"/>
        <w:jc w:val="both"/>
      </w:pPr>
      <w:r>
        <w:t xml:space="preserve">Every previous expansion of institutional credit markets was unlocked by an infrastructure upgrade that reduced the cost of trust. What held private credit back was never a shortage of capital or creditworthy borrowers. It was the absence of a shared, tamper-proof, continuously updated record of asset ownership — the one thing that public markets have always </w:t>
      </w:r>
      <w:proofErr w:type="gramStart"/>
      <w:r>
        <w:t>had</w:t>
      </w:r>
      <w:proofErr w:type="gramEnd"/>
      <w:r>
        <w:t xml:space="preserve"> and private credit has always lacked. That absence is now closed.</w:t>
      </w:r>
    </w:p>
    <w:p w14:paraId="18635755" w14:textId="77777777" w:rsidR="00781751" w:rsidRDefault="00781751">
      <w:pPr>
        <w:spacing w:after="80"/>
      </w:pPr>
    </w:p>
    <w:p w14:paraId="361A2249" w14:textId="77777777" w:rsidR="00781751" w:rsidRDefault="00D11CC7">
      <w:pPr>
        <w:pBdr>
          <w:left w:val="thick" w:sz="12" w:space="8" w:color="0E7C7B"/>
        </w:pBdr>
        <w:shd w:val="clear" w:color="auto" w:fill="E8F0FA"/>
        <w:spacing w:before="200" w:after="200"/>
        <w:ind w:left="560" w:right="560"/>
      </w:pPr>
      <w:r>
        <w:rPr>
          <w:i/>
          <w:iCs/>
          <w:color w:val="0A2342"/>
        </w:rPr>
        <w:t>The 2008 financial crisis was not only a credit event. It was an information failure — regulators, investors, and institutions flying blind on lagged data from a market that had already fundamentally changed. Tokenized credit infrastructure makes that kind of systemic blindness structurally impossible.</w:t>
      </w:r>
    </w:p>
    <w:p w14:paraId="23A20C29" w14:textId="77777777" w:rsidR="00781751" w:rsidRDefault="00781751">
      <w:pPr>
        <w:spacing w:after="80"/>
      </w:pPr>
    </w:p>
    <w:p w14:paraId="1AB938DE" w14:textId="77777777" w:rsidR="00781751" w:rsidRDefault="00D11CC7">
      <w:pPr>
        <w:spacing w:before="120" w:after="120"/>
        <w:jc w:val="both"/>
      </w:pPr>
      <w:r>
        <w:t>When every loan in a warehouse facility and every tranche of a structured security is registered on a permissioned ledger with live performance data, systemic visibility improves by orders of magnitude. Stress tests run on current data. Early warning signals emerge automatically. The Basel reform vision of continuous, high-quality supervisory data becomes technically achievable for the first time.</w:t>
      </w:r>
    </w:p>
    <w:p w14:paraId="4EC76A6C" w14:textId="77777777" w:rsidR="00781751" w:rsidRDefault="00781751">
      <w:pPr>
        <w:spacing w:after="80"/>
      </w:pPr>
    </w:p>
    <w:p w14:paraId="534A9FE7" w14:textId="77777777" w:rsidR="00781751" w:rsidRDefault="00781751">
      <w:pPr>
        <w:pBdr>
          <w:bottom w:val="single" w:sz="2" w:space="4" w:color="D0D7E2"/>
        </w:pBdr>
        <w:spacing w:before="160" w:after="160"/>
      </w:pPr>
    </w:p>
    <w:p w14:paraId="70E5459E" w14:textId="77777777" w:rsidR="00781751" w:rsidRDefault="00D11CC7">
      <w:pPr>
        <w:pBdr>
          <w:bottom w:val="single" w:sz="4" w:space="6" w:color="0E7C7B"/>
        </w:pBdr>
        <w:spacing w:before="480" w:after="160"/>
      </w:pPr>
      <w:r>
        <w:rPr>
          <w:b/>
          <w:bCs/>
          <w:caps/>
          <w:color w:val="0A2342"/>
          <w:sz w:val="30"/>
          <w:szCs w:val="30"/>
        </w:rPr>
        <w:t>9.  Conclusion: The Moment of Transition</w:t>
      </w:r>
    </w:p>
    <w:p w14:paraId="26ACC366" w14:textId="77777777" w:rsidR="00781751" w:rsidRDefault="00D11CC7">
      <w:pPr>
        <w:spacing w:before="120" w:after="120"/>
        <w:jc w:val="both"/>
      </w:pPr>
      <w:r>
        <w:t>Stablecoins digitize money. Tokenization digitizes collateral. When these two systems converge on a unified ledger, financial transactions cease to be multi-day processes managed by chains of intermediaries and become single, verifiable events — provable at creation, transparent in perpetuity.</w:t>
      </w:r>
    </w:p>
    <w:p w14:paraId="4CD0E36A" w14:textId="77777777" w:rsidR="00781751" w:rsidRDefault="00781751">
      <w:pPr>
        <w:spacing w:after="80"/>
      </w:pPr>
    </w:p>
    <w:p w14:paraId="04B13EAA" w14:textId="77777777" w:rsidR="00781751" w:rsidRDefault="00D11CC7">
      <w:pPr>
        <w:spacing w:before="120" w:after="120"/>
        <w:jc w:val="both"/>
      </w:pPr>
      <w:r>
        <w:t>In the 1970s, banks adopted SWIFT to move messages faster. In the 1990s, markets adopted DTCC to reconcile equities. In the 2020s, regulated institutions are adopting digital collateral networks to move value itself — the asset and the payment simultaneously, with cryptographic proof and regulatory visibility.</w:t>
      </w:r>
    </w:p>
    <w:p w14:paraId="1EBDBB7A" w14:textId="77777777" w:rsidR="00781751" w:rsidRDefault="00781751">
      <w:pPr>
        <w:spacing w:after="80"/>
      </w:pPr>
    </w:p>
    <w:p w14:paraId="6FCE083E" w14:textId="77777777" w:rsidR="00781751" w:rsidRDefault="00D11CC7">
      <w:pPr>
        <w:spacing w:before="120" w:after="120"/>
        <w:jc w:val="both"/>
      </w:pPr>
      <w:r>
        <w:t>The infrastructure exists. The legal framework is sound under UCC Article 12 and OCC guidance. The accounting treatment is supportable under ASC 310. The economics are compelling — $6.13 million in recovered annual value per mid-size warehouse lender, before counting spread compression and RWA relief.</w:t>
      </w:r>
    </w:p>
    <w:p w14:paraId="4E1F12F5" w14:textId="77777777" w:rsidR="00781751" w:rsidRDefault="0078175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751" w14:paraId="3B9A1D2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4F6F9"/>
            <w:tcMar>
              <w:top w:w="240" w:type="dxa"/>
              <w:left w:w="360" w:type="dxa"/>
              <w:bottom w:w="240" w:type="dxa"/>
              <w:right w:w="360" w:type="dxa"/>
            </w:tcMar>
          </w:tcPr>
          <w:p w14:paraId="19271227" w14:textId="77777777" w:rsidR="00781751" w:rsidRDefault="00D11CC7">
            <w:pPr>
              <w:spacing w:before="80" w:after="120"/>
            </w:pPr>
            <w:r>
              <w:rPr>
                <w:b/>
                <w:bCs/>
                <w:color w:val="0A2342"/>
              </w:rPr>
              <w:t>The Defining Truth</w:t>
            </w:r>
          </w:p>
          <w:p w14:paraId="0AF03125" w14:textId="77777777" w:rsidR="00781751" w:rsidRDefault="00D11CC7">
            <w:pPr>
              <w:spacing w:after="80"/>
            </w:pPr>
            <w:r>
              <w:rPr>
                <w:i/>
                <w:iCs/>
              </w:rPr>
              <w:t>The moment both sides of finance — cash and collateral — share the same ledger, trust no longer needs to be reconciled. It is proven at creation. That is where institutional tokenization leads: not to speculation, but to efficiency, transparency, and stronger balance sheets.</w:t>
            </w:r>
          </w:p>
        </w:tc>
      </w:tr>
    </w:tbl>
    <w:p w14:paraId="225D2A4D" w14:textId="77777777" w:rsidR="00781751" w:rsidRDefault="00781751">
      <w:pPr>
        <w:spacing w:after="160"/>
      </w:pPr>
    </w:p>
    <w:p w14:paraId="6B2C8A3C" w14:textId="77777777" w:rsidR="00781751" w:rsidRDefault="00D11CC7">
      <w:pPr>
        <w:spacing w:before="120" w:after="120"/>
        <w:jc w:val="both"/>
      </w:pPr>
      <w:r>
        <w:t xml:space="preserve">Ten years from now, no one will call this blockchain finance. They will call it banking — the way banking should work. The only remaining question is which institutions will </w:t>
      </w:r>
      <w:proofErr w:type="gramStart"/>
      <w:r>
        <w:t>lead</w:t>
      </w:r>
      <w:proofErr w:type="gramEnd"/>
      <w:r>
        <w:t xml:space="preserve"> and which will follow.</w:t>
      </w:r>
    </w:p>
    <w:p w14:paraId="26C01DD4" w14:textId="77777777" w:rsidR="00781751" w:rsidRDefault="00781751">
      <w:pPr>
        <w:spacing w:after="80"/>
      </w:pPr>
    </w:p>
    <w:p w14:paraId="3345156C" w14:textId="77777777" w:rsidR="00781751" w:rsidRDefault="00781751">
      <w:pPr>
        <w:pBdr>
          <w:bottom w:val="single" w:sz="2" w:space="4" w:color="D0D7E2"/>
        </w:pBdr>
        <w:spacing w:before="160" w:after="160"/>
      </w:pPr>
    </w:p>
    <w:p w14:paraId="7C53AE0B" w14:textId="77777777" w:rsidR="00781751" w:rsidRDefault="00D11CC7">
      <w:pPr>
        <w:pBdr>
          <w:bottom w:val="single" w:sz="4" w:space="6" w:color="0E7C7B"/>
        </w:pBdr>
        <w:spacing w:before="480" w:after="160"/>
      </w:pPr>
      <w:r>
        <w:rPr>
          <w:b/>
          <w:bCs/>
          <w:caps/>
          <w:color w:val="0A2342"/>
          <w:sz w:val="30"/>
          <w:szCs w:val="30"/>
        </w:rPr>
        <w:t>About Liquidity.io</w:t>
      </w:r>
    </w:p>
    <w:p w14:paraId="3148C5B9" w14:textId="77777777" w:rsidR="00781751" w:rsidRDefault="00D11CC7">
      <w:pPr>
        <w:spacing w:before="120" w:after="120"/>
        <w:jc w:val="both"/>
      </w:pPr>
      <w:r>
        <w:t>Liquidity.io builds regulated infrastructure for the digitization and settlement of real-world credit assets. Our platform powers tokenized receivable issuance, compliance-automated trading, and atomic stablecoin settlement for institutional originators, warehouse lenders, and qualified investors.</w:t>
      </w:r>
    </w:p>
    <w:p w14:paraId="4FD60912" w14:textId="77777777" w:rsidR="00781751" w:rsidRDefault="00781751">
      <w:pPr>
        <w:spacing w:after="80"/>
      </w:pPr>
    </w:p>
    <w:p w14:paraId="6126E096" w14:textId="77777777" w:rsidR="00781751" w:rsidRDefault="00D11CC7">
      <w:pPr>
        <w:spacing w:before="120" w:after="120"/>
        <w:jc w:val="both"/>
      </w:pPr>
      <w:r>
        <w:t>Live deployments include auto loan tokenization with Automatic USA and Karus Auto, structured through Forum Markets on a registered Alternative Trading System. Additional facilities tokenizing manufactured home and commercial vehicle receivables are scheduled for deployment within the quarter.</w:t>
      </w:r>
    </w:p>
    <w:p w14:paraId="2B82CDA9" w14:textId="77777777" w:rsidR="00781751" w:rsidRDefault="00781751">
      <w:pPr>
        <w:spacing w:after="80"/>
      </w:pPr>
    </w:p>
    <w:p w14:paraId="541886D6" w14:textId="77777777" w:rsidR="00781751" w:rsidRDefault="00D11CC7">
      <w:pPr>
        <w:spacing w:before="120" w:after="120"/>
        <w:jc w:val="both"/>
      </w:pPr>
      <w:r>
        <w:t>For institutional inquiries regarding platform access, custodial integration, or regulatory engagement, contact Liquidity.io Institutional Relations.</w:t>
      </w:r>
    </w:p>
    <w:p w14:paraId="4BF9B3A8" w14:textId="77777777" w:rsidR="00781751" w:rsidRDefault="00781751">
      <w:pPr>
        <w:spacing w:after="160"/>
      </w:pPr>
    </w:p>
    <w:p w14:paraId="456E0DCC" w14:textId="77777777" w:rsidR="00781751" w:rsidRDefault="00D11CC7">
      <w:pPr>
        <w:spacing w:before="200" w:after="80"/>
        <w:jc w:val="center"/>
      </w:pPr>
      <w:r>
        <w:rPr>
          <w:i/>
          <w:iCs/>
          <w:color w:val="D0D7E2"/>
          <w:sz w:val="18"/>
          <w:szCs w:val="18"/>
        </w:rPr>
        <w:t>This document is prepared for institutional audiences and does not constitute investment advice or a solicitation to purchase securities.</w:t>
      </w:r>
    </w:p>
    <w:sectPr w:rsidR="00781751">
      <w:pgSz w:w="12240" w:h="15840"/>
      <w:pgMar w:top="1260" w:right="1260" w:bottom="126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42F02"/>
    <w:multiLevelType w:val="hybridMultilevel"/>
    <w:tmpl w:val="5C14C848"/>
    <w:lvl w:ilvl="0" w:tplc="11CE92EE">
      <w:start w:val="1"/>
      <w:numFmt w:val="bullet"/>
      <w:lvlText w:val="●"/>
      <w:lvlJc w:val="left"/>
      <w:pPr>
        <w:ind w:left="720" w:hanging="360"/>
      </w:pPr>
    </w:lvl>
    <w:lvl w:ilvl="1" w:tplc="4816EC7C">
      <w:start w:val="1"/>
      <w:numFmt w:val="bullet"/>
      <w:lvlText w:val="○"/>
      <w:lvlJc w:val="left"/>
      <w:pPr>
        <w:ind w:left="1440" w:hanging="360"/>
      </w:pPr>
    </w:lvl>
    <w:lvl w:ilvl="2" w:tplc="023AE14C">
      <w:start w:val="1"/>
      <w:numFmt w:val="bullet"/>
      <w:lvlText w:val="■"/>
      <w:lvlJc w:val="left"/>
      <w:pPr>
        <w:ind w:left="2160" w:hanging="360"/>
      </w:pPr>
    </w:lvl>
    <w:lvl w:ilvl="3" w:tplc="A0BE2D52">
      <w:start w:val="1"/>
      <w:numFmt w:val="bullet"/>
      <w:lvlText w:val="●"/>
      <w:lvlJc w:val="left"/>
      <w:pPr>
        <w:ind w:left="2880" w:hanging="360"/>
      </w:pPr>
    </w:lvl>
    <w:lvl w:ilvl="4" w:tplc="1C94B758">
      <w:start w:val="1"/>
      <w:numFmt w:val="bullet"/>
      <w:lvlText w:val="○"/>
      <w:lvlJc w:val="left"/>
      <w:pPr>
        <w:ind w:left="3600" w:hanging="360"/>
      </w:pPr>
    </w:lvl>
    <w:lvl w:ilvl="5" w:tplc="33A48E20">
      <w:start w:val="1"/>
      <w:numFmt w:val="bullet"/>
      <w:lvlText w:val="■"/>
      <w:lvlJc w:val="left"/>
      <w:pPr>
        <w:ind w:left="4320" w:hanging="360"/>
      </w:pPr>
    </w:lvl>
    <w:lvl w:ilvl="6" w:tplc="FC4CA414">
      <w:start w:val="1"/>
      <w:numFmt w:val="bullet"/>
      <w:lvlText w:val="●"/>
      <w:lvlJc w:val="left"/>
      <w:pPr>
        <w:ind w:left="5040" w:hanging="360"/>
      </w:pPr>
    </w:lvl>
    <w:lvl w:ilvl="7" w:tplc="0EFC153C">
      <w:start w:val="1"/>
      <w:numFmt w:val="bullet"/>
      <w:lvlText w:val="●"/>
      <w:lvlJc w:val="left"/>
      <w:pPr>
        <w:ind w:left="5760" w:hanging="360"/>
      </w:pPr>
    </w:lvl>
    <w:lvl w:ilvl="8" w:tplc="0638F1FE">
      <w:start w:val="1"/>
      <w:numFmt w:val="bullet"/>
      <w:lvlText w:val="●"/>
      <w:lvlJc w:val="left"/>
      <w:pPr>
        <w:ind w:left="6480" w:hanging="360"/>
      </w:pPr>
    </w:lvl>
  </w:abstractNum>
  <w:num w:numId="1" w16cid:durableId="5304616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1751"/>
    <w:rsid w:val="00781751"/>
    <w:rsid w:val="009A5696"/>
    <w:rsid w:val="00AB5DCA"/>
    <w:rsid w:val="00BC7C1F"/>
    <w:rsid w:val="00D11CC7"/>
    <w:rsid w:val="00DF7C53"/>
    <w:rsid w:val="00F417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AA68C2"/>
  <w15:docId w15:val="{A20D77FA-CF23-4249-8E60-4213BD18C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3713</Words>
  <Characters>21166</Characters>
  <Application>Microsoft Office Word</Application>
  <DocSecurity>0</DocSecurity>
  <Lines>176</Lines>
  <Paragraphs>49</Paragraphs>
  <ScaleCrop>false</ScaleCrop>
  <Company/>
  <LinksUpToDate>false</LinksUpToDate>
  <CharactersWithSpaces>24830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eric choi</cp:lastModifiedBy>
  <cp:revision>4</cp:revision>
  <cp:lastPrinted>2026-03-12T05:33:00Z</cp:lastPrinted>
  <dcterms:created xsi:type="dcterms:W3CDTF">2026-03-12T05:30:00Z</dcterms:created>
  <dcterms:modified xsi:type="dcterms:W3CDTF">2026-03-12T05:32:00Z</dcterms:modified>
</cp:coreProperties>
</file>