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Salaam Somali Bank)</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Salaam Somali Bank, a Somali commercial bank licensed by the Central Bank of Somalia (CBS) and headquartered in Mogadishu, Federal Republic of Somalia, with registered office at K4 Junction, Maka al-Mukarama Road, Hodan District, Mogadishu, Somalia (CBS-licensed commercial bank; SWIFT BIC SALMSOSO) (“SSB” or the “Local Partner”).  Lux Industries and SSB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SSB is the oldest and largest privately owned commercial bank in Somalia, holding approximately a 45% market share, with ISO 9001:2015 certification, membership of the SWIFT network, and a full Shariah-compliant product set (Murabahah, Mudharabah, Musharakah, Ijaarah)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SSB,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SSB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SSB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SSB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SSB’s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SSB customer experience;</w:t>
      </w:r>
    </w:p>
    <w:p>
      <w:pPr>
        <w:pStyle w:val="ListBullet"/>
        <w:spacing w:after="40"/>
      </w:pPr>
      <w:r>
        <w:t>(b) Lux Network integration, including identity, content-addressed audit, and (where applicable) settlement primitives used to record and reconcile activity arising from the SSB customer base under the Local Partner Licensed Activity; and</w:t>
      </w:r>
    </w:p>
    <w:p>
      <w:pPr>
        <w:pStyle w:val="ListBullet"/>
        <w:spacing w:after="40"/>
      </w:pPr>
      <w:r>
        <w:t>(c) SF Private Pay PSP enablement as set forth in Schedule 2, pursuant to which SSB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SSB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SSB’s customers the combined capabilities of SSB’s licensed regulated stack and the Lux Network technology and coordination stack; (b) reduce onboarding friction, cost, and fraud risk through Simplici.io; (c) where in scope, enable SSB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SSB’s flow on the Lux Network or associated services and (b) revenue earned by SSB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SSB.</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SSB within fifteen (15) business days of each calendar month-end showing, for the prior month, Gross Partnership Revenue, Documented Costs by category, Net Partnership Revenue, and the resulting 50/50 split.  SSB shall reciprocally report any Gross Partnership Revenue earned directly by SSB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SSB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SSB may charge additional spread, commission, or other pricing to its customers in respect of products produced through the Local Partner Licensed Activity, and SSB shall retain one hundred percent (100%) of such customer-facing markups, subject to applicable law and SSB’s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SSB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SSB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SSB shall have direct, independent access to all onboarding records, verification outputs, and CIP artifacts in respect of its customers through Simplici.io.  SSB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SSB to perform technology-platform functions on behalf of Lux Industries, or to require Lux Industries to perform Local Partner Licensed Activity on behalf of SSB.</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SSB owns or controls its customer data.  Lux Industries and the applicable platform providers shall act as service providers / data processors, processing such data solely to provide the services and as documented by SSB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SSB within seventy-two (72) hours after becoming aware of any confirmed or reasonably suspected cybersecurity incident, data breach, or unauthorized access involving SSB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SSB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SSB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SSB.</w:t>
      </w:r>
    </w:p>
    <w:p>
      <w:pPr>
        <w:spacing w:after="120"/>
        <w:jc w:val="both"/>
      </w:pPr>
      <w:r>
        <w:rPr>
          <w:b w:val="0"/>
          <w:i w:val="0"/>
        </w:rPr>
        <w:t>SSB shall indemnify, defend, and hold harmless Lux Industries and its affiliates and their respective officers, directors, employees, and agents from and against any third-party claims, damages, liabilities, penalties, fines, and reasonable attorneys’ fees arising out of or relating to (a) SSB’s material breach of this Agreement; (b) SSB’s gross negligence or willful misconduct; (c) SSB’s conduct of the Local Partner Licensed Activity; or (d) SSB’s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SSB’s systems, with a white-labeled user experience within SSB’s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SSB: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SSB LICENSE STACK</w:t>
      </w:r>
    </w:p>
    <w:p>
      <w:pPr>
        <w:spacing w:after="120"/>
        <w:jc w:val="both"/>
      </w:pPr>
      <w:r>
        <w:rPr>
          <w:b w:val="0"/>
          <w:i w:val="0"/>
        </w:rPr>
        <w:t>The following licenses and registrations held by SSB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Somalia</w:t>
            </w:r>
          </w:p>
        </w:tc>
        <w:tc>
          <w:tcPr>
            <w:tcW w:type="dxa" w:w="2340"/>
          </w:tcPr>
          <w:p>
            <w:r>
              <w:t>Central Bank of Somalia (CBS)</w:t>
            </w:r>
          </w:p>
        </w:tc>
        <w:tc>
          <w:tcPr>
            <w:tcW w:type="dxa" w:w="2340"/>
          </w:tcPr>
          <w:p>
            <w:r>
              <w:t>Commercial banking licence</w:t>
            </w:r>
          </w:p>
        </w:tc>
        <w:tc>
          <w:tcPr>
            <w:tcW w:type="dxa" w:w="2340"/>
          </w:tcPr>
          <w:p>
            <w:r>
              <w:t>Full retail and corporate banking; Shariah-compliant Islamic banking products; the bank of choice of the Somali Federal Government</w:t>
            </w:r>
          </w:p>
        </w:tc>
      </w:tr>
      <w:tr>
        <w:tc>
          <w:tcPr>
            <w:tcW w:type="dxa" w:w="2340"/>
          </w:tcPr>
          <w:p>
            <w:r>
              <w:t>Somalia</w:t>
            </w:r>
          </w:p>
        </w:tc>
        <w:tc>
          <w:tcPr>
            <w:tcW w:type="dxa" w:w="2340"/>
          </w:tcPr>
          <w:p>
            <w:r>
              <w:t>Financial Reporting Center (FRC)</w:t>
            </w:r>
          </w:p>
        </w:tc>
        <w:tc>
          <w:tcPr>
            <w:tcW w:type="dxa" w:w="2340"/>
          </w:tcPr>
          <w:p>
            <w:r>
              <w:t>Reporting entity</w:t>
            </w:r>
          </w:p>
        </w:tc>
        <w:tc>
          <w:tcPr>
            <w:tcW w:type="dxa" w:w="2340"/>
          </w:tcPr>
          <w:p>
            <w:r>
              <w:t>BSA-equivalent AML / sanctions / SAR reporting</w:t>
            </w:r>
          </w:p>
        </w:tc>
      </w:tr>
      <w:tr>
        <w:tc>
          <w:tcPr>
            <w:tcW w:type="dxa" w:w="2340"/>
          </w:tcPr>
          <w:p>
            <w:r>
              <w:t>International</w:t>
            </w:r>
          </w:p>
        </w:tc>
        <w:tc>
          <w:tcPr>
            <w:tcW w:type="dxa" w:w="2340"/>
          </w:tcPr>
          <w:p>
            <w:r>
              <w:t>SWIFT</w:t>
            </w:r>
          </w:p>
        </w:tc>
        <w:tc>
          <w:tcPr>
            <w:tcW w:type="dxa" w:w="2340"/>
          </w:tcPr>
          <w:p>
            <w:r>
              <w:t>Member, BIC SALMSOSO</w:t>
            </w:r>
          </w:p>
        </w:tc>
        <w:tc>
          <w:tcPr>
            <w:tcW w:type="dxa" w:w="2340"/>
          </w:tcPr>
          <w:p>
            <w:r>
              <w:t>International correspondent banking + MT103 wire settlement</w:t>
            </w:r>
          </w:p>
        </w:tc>
      </w:tr>
      <w:tr>
        <w:tc>
          <w:tcPr>
            <w:tcW w:type="dxa" w:w="2340"/>
          </w:tcPr>
          <w:p>
            <w:r>
              <w:t>International</w:t>
            </w:r>
          </w:p>
        </w:tc>
        <w:tc>
          <w:tcPr>
            <w:tcW w:type="dxa" w:w="2340"/>
          </w:tcPr>
          <w:p>
            <w:r>
              <w:t>ISO</w:t>
            </w:r>
          </w:p>
        </w:tc>
        <w:tc>
          <w:tcPr>
            <w:tcW w:type="dxa" w:w="2340"/>
          </w:tcPr>
          <w:p>
            <w:r>
              <w:t>9001:2015 certified (2022)</w:t>
            </w:r>
          </w:p>
        </w:tc>
        <w:tc>
          <w:tcPr>
            <w:tcW w:type="dxa" w:w="2340"/>
          </w:tcPr>
          <w:p>
            <w:r>
              <w:t>Quality management system covering banking operations</w:t>
            </w:r>
          </w:p>
        </w:tc>
      </w:tr>
      <w:tr>
        <w:tc>
          <w:tcPr>
            <w:tcW w:type="dxa" w:w="2340"/>
          </w:tcPr>
          <w:p>
            <w:r>
              <w:t>Horn of Africa</w:t>
            </w:r>
          </w:p>
        </w:tc>
        <w:tc>
          <w:tcPr>
            <w:tcW w:type="dxa" w:w="2340"/>
          </w:tcPr>
          <w:p>
            <w:r>
              <w:t>Shariah Supervisory Board (in-house)</w:t>
            </w:r>
          </w:p>
        </w:tc>
        <w:tc>
          <w:tcPr>
            <w:tcW w:type="dxa" w:w="2340"/>
          </w:tcPr>
          <w:p>
            <w:r>
              <w:t>AAOIFI-aligned Fatwa approval</w:t>
            </w:r>
          </w:p>
        </w:tc>
        <w:tc>
          <w:tcPr>
            <w:tcW w:type="dxa" w:w="2340"/>
          </w:tcPr>
          <w:p>
            <w:r>
              <w:t>Per-product Shariah compliance opinion for every Murabahah / Mudharabah / Musharakah / Ijaarah / Sukuk / Takaful instrument launched under this partnership</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SSB under this Agreement on the terms set forth below.  Phase 1 capability set, branded within the SSB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SSB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SSB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SSB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SALAAM SOMALI BANK</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SF Private Bank  (OG-SP-2026-SFPB)</w:t>
      </w:r>
    </w:p>
    <w:p>
      <w:pPr>
        <w:spacing w:after="40"/>
        <w:ind w:left="360"/>
      </w:pPr>
      <w:r>
        <w:rPr>
          <w:b/>
        </w:rPr>
        <w:t xml:space="preserve">Region: </w:t>
      </w:r>
      <w:r>
        <w:t>United States + Canada</w:t>
      </w:r>
    </w:p>
    <w:p>
      <w:pPr>
        <w:spacing w:after="40"/>
        <w:ind w:left="360"/>
      </w:pPr>
      <w:r>
        <w:rPr>
          <w:b/>
        </w:rPr>
        <w:t xml:space="preserve">Role: </w:t>
      </w:r>
      <w:r>
        <w:t>US chartered private bank + BD + ATS + TA + FinCEN MSB + state money-transmitter + CIRO + CSA + FINTRAC stack; operator of SF Private Pay (PSP) including Zeekash agent rails and MyATMen ATM network; card issuance; merchant acquiring.</w:t>
      </w:r>
    </w:p>
    <w:p>
      <w:pPr>
        <w:spacing w:after="40"/>
        <w:ind w:left="360"/>
      </w:pPr>
      <w:r>
        <w:rPr>
          <w:b/>
        </w:rPr>
        <w:t xml:space="preserve">Coordination with this Partnership: </w:t>
      </w:r>
      <w:r>
        <w:t>Provides the regulated US/CA bank, BD, PSP, and card-issuance rails that every other named Lux ecosystem partner can plug into via the Lux backend (treasury / forex / bankd / amld).</w:t>
      </w:r>
    </w:p>
    <w:p>
      <w:pPr>
        <w:spacing w:after="40"/>
        <w:ind w:left="360"/>
      </w:pPr>
      <w:r>
        <w:rPr>
          <w:b/>
        </w:rPr>
        <w:t xml:space="preserve">Status: </w:t>
      </w:r>
      <w:r>
        <w:t>Brief delivered (sfpb_integration_brief.pdf); awaiting kickoff per §7 of the brief.</w:t>
      </w:r>
    </w:p>
    <w:p>
      <w:pPr>
        <w:spacing w:before="160" w:after="40"/>
      </w:pPr>
      <w:r>
        <w:rPr>
          <w:b/>
        </w:rPr>
        <w:t>AvaTrade Ltd.  (OG-SP-2026-AVA)</w:t>
      </w:r>
    </w:p>
    <w:p>
      <w:pPr>
        <w:spacing w:after="40"/>
        <w:ind w:left="360"/>
      </w:pPr>
      <w:r>
        <w:rPr>
          <w:b/>
        </w:rPr>
        <w:t xml:space="preserve">Region: </w:t>
      </w:r>
      <w:r>
        <w:t>Ireland / EU / Australia / South Africa / UK / Japan / BVI / UAE.</w:t>
      </w:r>
    </w:p>
    <w:p>
      <w:pPr>
        <w:spacing w:after="40"/>
        <w:ind w:left="360"/>
      </w:pPr>
      <w:r>
        <w:rPr>
          <w:b/>
        </w:rPr>
        <w:t xml:space="preserve">Role: </w:t>
      </w:r>
      <w:r>
        <w:t>Multi-jurisdiction regulated retail brokerage group (Ireland Central Bank, ASIC, FSCA, FCA, JFSA, BVI FSC, ADGM FSRA).</w:t>
      </w:r>
    </w:p>
    <w:p>
      <w:pPr>
        <w:spacing w:after="40"/>
        <w:ind w:left="360"/>
      </w:pPr>
      <w:r>
        <w:rPr>
          <w:b/>
        </w:rPr>
        <w:t xml:space="preserve">Coordination with this Partnership: </w:t>
      </w:r>
      <w:r>
        <w:t>Uses SFPB for US-side IBAN equivalents (ACH + Fedwire), card funding via SF Private Pay, and access to the SF Private Bank ATS for US securities sleeves. Cross-currency settlement via forex/currencycloud and SFPB-coordinated FX. Customer onboarding via Simplici.io.</w:t>
      </w:r>
    </w:p>
    <w:p>
      <w:pPr>
        <w:spacing w:after="40"/>
        <w:ind w:left="360"/>
      </w:pPr>
      <w:r>
        <w:rPr>
          <w:b/>
        </w:rPr>
        <w:t xml:space="preserve">Status: </w:t>
      </w:r>
      <w:r>
        <w:t>Agreement delivered.</w:t>
      </w:r>
    </w:p>
    <w:p>
      <w:pPr>
        <w:spacing w:before="160" w:after="40"/>
      </w:pPr>
      <w:r>
        <w:rPr>
          <w:b/>
        </w:rPr>
        <w:t>Atmen Ltd.  (OG-SP-2026-ATM)</w:t>
      </w:r>
    </w:p>
    <w:p>
      <w:pPr>
        <w:spacing w:after="40"/>
        <w:ind w:left="360"/>
      </w:pPr>
      <w:r>
        <w:rPr>
          <w:b/>
        </w:rPr>
        <w:t xml:space="preserve">Region: </w:t>
      </w:r>
      <w:r>
        <w:t>United Kingdom</w:t>
      </w:r>
    </w:p>
    <w:p>
      <w:pPr>
        <w:spacing w:after="40"/>
        <w:ind w:left="360"/>
      </w:pPr>
      <w:r>
        <w:rPr>
          <w:b/>
        </w:rPr>
        <w:t xml:space="preserve">Role: </w:t>
      </w:r>
      <w:r>
        <w:t>Culture-led consumer banking and payments application (“Atmen --- Culture meets Currency”) serving an international diaspora customer base.</w:t>
      </w:r>
    </w:p>
    <w:p>
      <w:pPr>
        <w:spacing w:after="40"/>
        <w:ind w:left="360"/>
      </w:pPr>
      <w:r>
        <w:rPr>
          <w:b/>
        </w:rPr>
        <w:t xml:space="preserve">Coordination with this Partnership: </w:t>
      </w:r>
      <w:r>
        <w:t>Uses SFPB for US-dollar deposit accounts, US-issued cards, ACH/wire/FedNow settlement, and stablecoin on/off-ramp. Cross-border GBP ↔ USD via forex/currencycloud + SFPB. Customer onboarding via Simplici.io. Reliance Agreement with SFPB for CIP records.</w:t>
      </w:r>
    </w:p>
    <w:p>
      <w:pPr>
        <w:spacing w:after="40"/>
        <w:ind w:left="360"/>
      </w:pPr>
      <w:r>
        <w:rPr>
          <w:b/>
        </w:rPr>
        <w:t xml:space="preserve">Status: </w:t>
      </w:r>
      <w:r>
        <w:t>Agreement delivered.</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