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 Throughput Review</w:t>
      </w:r>
    </w:p>
    <w:p>
      <w:r>
        <w:t>The pilot program moved 128,400 pallets across three regional hubs in the second quarter, a 12.5 percent increase over the same period last year. Average dock-to-stock time fell from 4.2 hours to 3.1 hours after the scheduling change, while the number of missed appointments dropped by 38 percent. Warehouse B remains the constraint: its inbound lane utilisation reached 94 percent during peak weeks.</w:t>
      </w:r>
    </w:p>
    <w:p>
      <w:pPr>
        <w:pStyle w:val="Heading2"/>
      </w:pPr>
      <w:r>
        <w:t>Findings</w:t>
      </w:r>
    </w:p>
    <w:p>
      <w:pPr>
        <w:pStyle w:val="ListBullet"/>
      </w:pPr>
      <w:r>
        <w:t>Three findings stand out from the quarter:</w:t>
      </w:r>
    </w:p>
    <w:p>
      <w:pPr>
        <w:pStyle w:val="ListBullet"/>
      </w:pPr>
      <w:r>
        <w:t>Inbound lane utilisation peaked at 94 percent.</w:t>
      </w:r>
    </w:p>
    <w:p>
      <w:pPr>
        <w:pStyle w:val="ListBullet"/>
      </w:pPr>
      <w:r>
        <w:t>Duplicate labels appeared on 0.7 percent of shipments.</w:t>
      </w:r>
    </w:p>
    <w:p>
      <w:pPr>
        <w:pStyle w:val="ListBullet"/>
      </w:pPr>
      <w:r>
        <w:t>Cold-chain carrier concentration remains unmitigated.</w:t>
      </w:r>
    </w:p>
    <w:p>
      <w:pPr>
        <w:pStyle w:val="Heading2"/>
      </w:pPr>
      <w:r>
        <w:t>Regional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Pallets</w:t>
            </w:r>
          </w:p>
        </w:tc>
        <w:tc>
          <w:tcPr>
            <w:tcW w:type="dxa" w:w="2160"/>
          </w:tcPr>
          <w:p>
            <w:r>
              <w:t>On-time %</w:t>
            </w:r>
          </w:p>
        </w:tc>
        <w:tc>
          <w:tcPr>
            <w:tcW w:type="dxa" w:w="2160"/>
          </w:tcPr>
          <w:p>
            <w:r>
              <w:t>Cost / pallet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48,120</w:t>
            </w:r>
          </w:p>
        </w:tc>
        <w:tc>
          <w:tcPr>
            <w:tcW w:type="dxa" w:w="2160"/>
          </w:tcPr>
          <w:p>
            <w:r>
              <w:t>97.4</w:t>
            </w:r>
          </w:p>
        </w:tc>
        <w:tc>
          <w:tcPr>
            <w:tcW w:type="dxa" w:w="2160"/>
          </w:tcPr>
          <w:p>
            <w:r>
              <w:t>3.85</w:t>
            </w:r>
          </w:p>
        </w:tc>
      </w:tr>
      <w:tr>
        <w:tc>
          <w:tcPr>
            <w:tcW w:type="dxa" w:w="2160"/>
          </w:tcPr>
          <w:p>
            <w:r>
              <w:t>Central</w:t>
            </w:r>
          </w:p>
        </w:tc>
        <w:tc>
          <w:tcPr>
            <w:tcW w:type="dxa" w:w="2160"/>
          </w:tcPr>
          <w:p>
            <w:r>
              <w:t>41,600</w:t>
            </w:r>
          </w:p>
        </w:tc>
        <w:tc>
          <w:tcPr>
            <w:tcW w:type="dxa" w:w="2160"/>
          </w:tcPr>
          <w:p>
            <w:r>
              <w:t>95.1</w:t>
            </w:r>
          </w:p>
        </w:tc>
        <w:tc>
          <w:tcPr>
            <w:tcW w:type="dxa" w:w="2160"/>
          </w:tcPr>
          <w:p>
            <w:r>
              <w:t>4.02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38,680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  <w:tc>
          <w:tcPr>
            <w:tcW w:type="dxa" w:w="2160"/>
          </w:tcPr>
          <w:p>
            <w:r>
              <w:t>4.31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128,400</w:t>
            </w:r>
          </w:p>
        </w:tc>
        <w:tc>
          <w:tcPr>
            <w:tcW w:type="dxa" w:w="2160"/>
          </w:tcPr>
          <w:p>
            <w:r>
              <w:t>95.7</w:t>
            </w:r>
          </w:p>
        </w:tc>
        <w:tc>
          <w:tcPr>
            <w:tcW w:type="dxa" w:w="2160"/>
          </w:tcPr>
          <w:p>
            <w:r>
              <w:t>4.03</w:t>
            </w:r>
          </w:p>
        </w:tc>
      </w:tr>
    </w:tbl>
    <w:p>
      <w:r>
        <w:t>Two risks need attention. First, the cold-chain corridor depends on a single carrier and any interruption would delay roughly 900 shipments per week. Second, the new scanning stations are running firmware 2.4.1, which has a known issue with duplicate labels. A remediation plan is due on 15 November 2026 and will be tracked weekly.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ParseDock benchmark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