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13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p>
      <w:r>
        <w:t>本季度三个区域枢纽共处理托盘十二万八千四百个，同比增长百分之十二点五。调整排程后，平均卸货上架时间由四点二小时降至三点一小时，爽约次数下降百分之三十八。仓库B仍是瓶颈，高峰期入库通道利用率达到百分之九十四。</w:t>
      </w:r>
    </w:p>
    <w:p>
      <w:r>
        <w:t>需要关注两项风险。第一，冷链走廊依赖单一承运商，一旦中断每周约九百票货物将延误。第二，新扫描站运行的固件2.4.1存在标签重复的已知问题，整改计划应于二零二六年十一月十五日前提交。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