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 document 55</w:t>
      </w:r>
    </w:p>
    <w:p>
      <w:r>
        <w:t>The pilot program moved 128,400 pallets across three regional hubs in the second quarter, a 12.5 percent increase over the same period last year. Average dock-to-stock time fell from 4.2 hours to 3.1 hours after the scheduling change, while the number of missed appointments dropped by 38 percent. Warehouse B remains the constraint: its inbound lane utilisation reached 94 percent during peak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