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Corpus document 83</w:t>
      </w:r>
    </w:p>
    <w:p>
      <w:r>
        <w:t>The pilot program moved 128,400 pallets across three regional hubs in the second quarter, a 12.5 percent increase over the same period last year. Average dock-to-stock time fell from 4.2 hours to 3.1 hours after the scheduling change, while the number of missed appointments dropped by 38 percent. Warehouse B remains the constraint: its inbound lane utilisation reached 94 percent during peak weeks.</w:t>
      </w:r>
    </w:p>
    <w:p>
      <w:r>
        <w:t>Two risks need attention. First, the cold-chain corridor depends on a single carrier and any interruption would delay roughly 900 shipments per week. Second, the new scanning stations are running firmware 2.4.1, which has a known issue with duplicate labels. A remediation plan is due on 15 November 2026 and will be tracked weekly.</w:t>
      </w:r>
    </w:p>
    <w:p>
      <w:r>
        <w:t>本季度三个区域枢纽共处理托盘十二万八千四百个，同比增长百分之十二点五。调整排程后，平均卸货上架时间由四点二小时降至三点一小时，爽约次数下降百分之三十八。仓库B仍是瓶颈，高峰期入库通道利用率达到百分之九十四。</w:t>
      </w:r>
    </w:p>
    <w:p>
      <w:r>
        <w:t>需要关注两项风险。第一，冷链走廊依赖单一承运商，一旦中断每周约九百票货物将延误。第二，新扫描站运行的固件2.4.1存在标签重复的已知问题，整改计划应于二零二六年十一月十五日前提交。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