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思维导图学</w:t>
      </w:r>
      <w:r>
        <w:rPr>
          <w:rFonts w:hint="eastAsia"/>
          <w:b/>
          <w:bCs/>
          <w:sz w:val="44"/>
          <w:szCs w:val="44"/>
          <w:lang w:val="en-US" w:eastAsia="zh-CN"/>
        </w:rPr>
        <w:t>linux</w:t>
      </w:r>
    </w:p>
    <w:p>
      <w:pPr>
        <w:ind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在NSD1703班毕业之际，我让1703的学员郭云菲带着NSD1706班上了一个晚自习。最近在整理NSD1706 FTP服务器的时候，我惊喜的发现上面多了一个“思维导图”的文件夹，里面有很多整理的思维导图。事后得知，他每天晚上都会回顾当天所学，然后以自己的理解将知识用思维导图的形式画了出来。</w:t>
      </w:r>
    </w:p>
    <w:p>
      <w:pPr>
        <w:ind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问了一下NSD1706的学员，大家都对这种形式一致好评，于是，在云菲的基础上，我按照达内的课程做了进一步分类处理。在征得他的同意后，现在将部分思维导图分享给大家。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br w:type="page"/>
      </w:r>
    </w:p>
    <w:p>
      <w:pPr>
        <w:numPr>
          <w:ilvl w:val="0"/>
          <w:numId w:val="2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Network+Cisco部分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4310" cy="6063615"/>
            <wp:effectExtent l="0" t="0" r="2540" b="13335"/>
            <wp:docPr id="29" name="图片 29" descr="中心主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中心主题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中心主题</w:t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7960" cy="4037330"/>
            <wp:effectExtent l="0" t="0" r="8890" b="1270"/>
            <wp:docPr id="30" name="图片 30" descr="物理层解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物理层解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物理层</w:t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17160" cy="4129405"/>
            <wp:effectExtent l="0" t="0" r="2540" b="4445"/>
            <wp:docPr id="31" name="图片 31" descr="数据链路层解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数据链路层解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数据链路层</w:t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3837305"/>
            <wp:effectExtent l="0" t="0" r="10160" b="10795"/>
            <wp:docPr id="32" name="图片 32" descr="网络层解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网络层解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网络层</w:t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5384165"/>
            <wp:effectExtent l="0" t="0" r="10160" b="6985"/>
            <wp:docPr id="33" name="图片 33" descr="传输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传输层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传输层</w:t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5420" cy="7650480"/>
            <wp:effectExtent l="0" t="0" r="11430" b="7620"/>
            <wp:docPr id="34" name="图片 34" descr="标准、扩展、命名A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标准、扩展、命名AC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ACL访问控制列表</w:t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055" cy="6195695"/>
            <wp:effectExtent l="0" t="0" r="10795" b="14605"/>
            <wp:docPr id="35" name="图片 35" descr="NAT及静态转换 、  动态转换及P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NAT及静态转换 、  动态转换及PA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NAT地址映射</w:t>
      </w:r>
    </w:p>
    <w:p>
      <w:pPr>
        <w:numPr>
          <w:ilvl w:val="0"/>
          <w:numId w:val="2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br w:type="page"/>
      </w:r>
    </w:p>
    <w:p>
      <w:pPr>
        <w:numPr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二、Admin部分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865" cy="4204970"/>
            <wp:effectExtent l="0" t="0" r="6985" b="5080"/>
            <wp:docPr id="36" name="图片 36" descr="NTP时间同步 、 tar备份与恢复 、  管理用户和组 、 cron计划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NTP时间同步 、 tar备份与恢复 、  管理用户和组 、 cron计划任务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NTP时间同步、tar归档、用户管理、周期性计划任务</w:t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2880" cy="5372735"/>
            <wp:effectExtent l="0" t="0" r="13970" b="18415"/>
            <wp:docPr id="37" name="图片 37" descr="分区规划及使用 、  LVM逻辑卷 、  管理交换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分区规划及使用 、  LVM逻辑卷 、  管理交换空间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LVM逻辑卷管理</w:t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br w:type="page"/>
      </w:r>
    </w:p>
    <w:p>
      <w:pPr>
        <w:numPr>
          <w:ilvl w:val="0"/>
          <w:numId w:val="2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Engineer部分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4785" cy="5574030"/>
            <wp:effectExtent l="0" t="0" r="12065" b="7620"/>
            <wp:docPr id="39" name="图片 39" descr="HTTP服务基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服务基础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HTTP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2245" cy="5252085"/>
            <wp:effectExtent l="0" t="0" r="14605" b="5715"/>
            <wp:docPr id="38" name="图片 38" descr="配置邮件服务器 、  数据库服务基础 、  管理表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配置邮件服务器 、  数据库服务基础 、  管理表数据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邮件</w:t>
      </w:r>
    </w:p>
    <w:p>
      <w:pPr>
        <w:numPr>
          <w:numId w:val="0"/>
        </w:numPr>
        <w:ind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因思维导图较多，我就不一一展示了，有需要的童鞋可以加微信：13286657707，也希望大家向郭云菲同学一样，用心努力去把linux云计算这门课程学好！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553D5"/>
    <w:multiLevelType w:val="singleLevel"/>
    <w:tmpl w:val="599553D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955473"/>
    <w:multiLevelType w:val="singleLevel"/>
    <w:tmpl w:val="59955473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F377B9"/>
    <w:rsid w:val="62BE4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GIF"/><Relationship Id="rId11" Type="http://schemas.openxmlformats.org/officeDocument/2006/relationships/image" Target="media/image8.GIF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2017-08-17T08:43:45Z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2052-10.1.0.6689</vt:lpwstr>
  </property>
</Properties>
</file>