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Dubai Property Outreach Master</w:t>
      </w:r>
    </w:p>
    <w:p>
      <w:r>
        <w:t xml:space="preserve">Last updated: 2026-08-02 14:55 Asia/Dubai</w:t>
      </w:r>
    </w:p>
    <w:p>
      <w:r>
        <w:t xml:space="preserve">Workbook separates LOHH rental/STR acquisition from Lux Oasis Renovation flip watchlist leads.</w:t>
      </w:r>
    </w:p>
    <w:p>
      <w:r>
        <w:t xml:space="preserve">Ahmed Hassan / Stone Bridge replied no-interest for Murjan 2 listing 123819806; lead closed.</w:t>
      </w:r>
    </w:p>
    <w:p>
      <w:r>
        <w:t xml:space="preserve">Sparkle Towers alert processed and parked, no outreach sent.</w:t>
      </w:r>
    </w:p>
    <w:p>
      <w:r>
        <w:t xml:space="preserve">Greens/Springs flip watchlist remains no-outreach unless a saved buy-box match is confirmed and Damiano approves.</w:t>
      </w:r>
    </w:p>
    <w:sectPr/>
  </w:body>
</w:document>
</file>