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tterSubtitle"/>
        <w:jc w:val="center"/>
      </w:pPr>
      <w:r>
        <w:t>Draft introduction letter</w:t>
      </w:r>
    </w:p>
    <w:p>
      <w:r>
        <w:t>To: The Director</w:t>
      </w:r>
    </w:p>
    <w:p>
      <w:r>
        <w:t>National Blood Transfusion Service</w:t>
      </w:r>
    </w:p>
    <w:p>
      <w:r>
        <w:t>Ministry of Health and Wellness</w:t>
      </w:r>
    </w:p>
    <w:p>
      <w:r>
        <w:t>Republic of Botswana</w:t>
      </w:r>
    </w:p>
    <w:p>
      <w:r>
        <w:t>Date: 19 August 2026</w:t>
      </w:r>
    </w:p>
    <w:p>
      <w:r>
        <w:rPr>
          <w:b/>
        </w:rPr>
        <w:t xml:space="preserve">Subject: </w:t>
      </w:r>
      <w:r>
        <w:t>Request for an introductory meeting on Bloodchain and a staged data-sharing framework</w:t>
      </w:r>
    </w:p>
    <w:p>
      <w:r>
        <w:t>Dear Director,</w:t>
      </w:r>
    </w:p>
    <w:p>
      <w:r>
        <w:t>I am writing on behalf of Bloodchain, a Botswana-focused digital health initiative exploring how a connected blood-supply platform could support visibility, coordination and accountable workflows across donors, hospital blood banks, national operations and blood-processing laboratories.</w:t>
      </w:r>
    </w:p>
    <w:p>
      <w:r>
        <w:t>We have developed an early product demonstration comprising a donor portal and mobile companion, a hospital blood-bank workstation, a national operations dashboard and a laboratory processing workspace. The platform is designed to make the path from donation through processing, local inventory, shortage identification and facility coordination easier to understand and manage. The current build is a demonstration environment; it is not presented as a replacement for NBTS systems, a clinically certified production system, or a request for unrestricted access to NBTS data.</w:t>
      </w:r>
    </w:p>
    <w:p>
      <w:r>
        <w:t>We would value the opportunity to meet with the National Blood Transfusion Service to understand your strategic priorities, current information flows, governance requirements and the practical problems that a locally grounded digital solution should address. Our first objective would be to listen, demonstrate the concept at an appropriate level, and identify whether a small, jointly governed discovery or pilot pathway could be useful.</w:t>
      </w:r>
    </w:p>
    <w:p>
      <w:r>
        <w:t>If there is interest, we would propose that any future data-sharing discussion be staged and documented through the appropriate NBTS, Ministry, legal, privacy, information-security and clinical-governance channels. A framework could cover:</w:t>
      </w:r>
    </w:p>
    <w:p>
      <w:pPr>
        <w:pStyle w:val="ListBullet"/>
      </w:pPr>
      <w:r>
        <w:t>a clearly defined purpose, scope, legal basis and governance/approval pathway;</w:t>
      </w:r>
    </w:p>
    <w:p>
      <w:pPr>
        <w:pStyle w:val="ListBullet"/>
      </w:pPr>
      <w:r>
        <w:t>the minimum data required for an initial feasibility exercise, with de-identification or synthetic data used wherever possible;</w:t>
      </w:r>
    </w:p>
    <w:p>
      <w:pPr>
        <w:pStyle w:val="ListBullet"/>
      </w:pPr>
      <w:r>
        <w:t>role-based access, auditability, encryption, hosting, retention, incident handling and return/deletion requirements;</w:t>
      </w:r>
    </w:p>
    <w:p>
      <w:pPr>
        <w:pStyle w:val="ListBullet"/>
      </w:pPr>
      <w:r>
        <w:t>data quality, validation, clinical accountability and the limits of any decision-support functionality;</w:t>
      </w:r>
    </w:p>
    <w:p>
      <w:pPr>
        <w:pStyle w:val="ListBullet"/>
      </w:pPr>
      <w:r>
        <w:t>ownership of pre-existing intellectual property, treatment of jointly developed outputs, confidentiality and publication/communications approval;</w:t>
      </w:r>
    </w:p>
    <w:p>
      <w:pPr>
        <w:pStyle w:val="ListBullet"/>
      </w:pPr>
      <w:r>
        <w:t>a time-bound pilot plan with defined success measures, review checkpoints and an exit process.</w:t>
      </w:r>
    </w:p>
    <w:p>
      <w:r>
        <w:t>We would be grateful for a 45–60 minute introductory meeting at a time convenient to you. We can provide a concise non-technical overview in advance and, subject to your preference, a separate technical briefing for the relevant operational and information-governance teams. We are committed to approaching any collaboration respectfully, transparently and in alignment with Botswana’s health-sector and data-protection requirements.</w:t>
      </w:r>
    </w:p>
    <w:p>
      <w:r>
        <w:t>Thank you for considering this request. We would welcome the opportunity to learn from the National Blood Transfusion Service and explore whether Bloodchain could be shaped into a responsible, locally useful complement to existing national efforts.</w:t>
      </w:r>
    </w:p>
    <w:p>
      <w:r>
        <w:t>Yours faithfully,</w:t>
      </w:r>
    </w:p>
    <w:p>
      <w:r>
        <w:br/>
        <w:t>[Your full name]</w:t>
        <w:br/>
        <w:t>[Your title / Founder, Bloodchain]</w:t>
        <w:br/>
        <w:t>[Email address]  |  [Telephone number]</w:t>
        <w:br/>
        <w:t>[Optional website or presentation link]</w:t>
      </w:r>
    </w:p>
    <w:p>
      <w:pPr>
        <w:spacing w:before="240"/>
      </w:pPr>
      <w:r>
        <w:rPr>
          <w:b/>
          <w:color w:val="7A1025"/>
        </w:rPr>
        <w:t>DRAFTING NOTE: Replace the bracketed sender details and confirm the addressee/title with NBTS before sending. Have the final version reviewed by appropriate legal, privacy and clinical-governance advisers before it creates any data-sharing commitment.</w:t>
      </w:r>
    </w:p>
    <w:sectPr w:rsidR="00FC693F" w:rsidRPr="0006063C" w:rsidSect="00034616">
      <w:headerReference w:type="default" r:id="rId9"/>
      <w:footerReference w:type="default" r:id="rId10"/>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Draft for review • Replace bracketed fields before sending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7A1025"/>
        <w:sz w:val="18"/>
      </w:rPr>
      <w:t>BLOODCHAIN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B12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Subtitle">
    <w:name w:val="Letter Subtitle"/>
    <w:basedOn w:val="Normal"/>
    <w:pPr>
      <w:spacing w:after="280"/>
    </w:pPr>
    <w:rPr>
      <w:rFonts w:ascii="Arial" w:hAnsi="Arial"/>
      <w:b/>
      <w:color w:val="0B122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