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BLOODCHAIN</w:t>
      </w:r>
    </w:p>
    <w:p>
      <w:r>
        <w:rPr>
          <w:b/>
          <w:color w:val="991B1B"/>
          <w:sz w:val="26"/>
        </w:rPr>
        <w:t>National Blood Supply Grid &amp; Cryptographic Custody Architecture</w:t>
      </w:r>
    </w:p>
    <w:p>
      <w:r>
        <w:rPr>
          <w:color w:val="64748B"/>
          <w:sz w:val="19"/>
        </w:rPr>
        <w:t>Document Reference: BC-ARCH-2026-V2.4  |  Date: August 2026  |  Platform: https://bloodchain.life</w:t>
        <w:br/>
        <w:t>Engineered by: Gift Jr Nakedi (UniPod, University of Botswana)</w:t>
      </w:r>
    </w:p>
    <w:p>
      <w:pPr>
        <w:pStyle w:val="Heading1"/>
      </w:pPr>
      <w:r>
        <w:t>1. Executive Summary</w:t>
      </w:r>
    </w:p>
    <w:p>
      <w:r>
        <w:t>Bloodchain is Botswana's sovereign digital health coordination infrastructure designed to eliminate critical blood shortages, prevent cold-chain expiration, and accelerate maternal postpartum hemorrhage emergency response. It connects voluntary blood donors, hospital blood banks, screening laboratories, and the Ministry of Health through a unified, real-time cryptographic supply grid.</w:t>
      </w:r>
    </w:p>
    <w:p>
      <w:pPr>
        <w:pStyle w:val="Heading1"/>
      </w:pPr>
      <w:r>
        <w:t>2. Four-Pillar Product Ecosystem</w:t>
      </w:r>
    </w:p>
    <w:p>
      <w:r>
        <w:rPr>
          <w:b/>
          <w:color w:val="0F172A"/>
        </w:rPr>
        <w:t xml:space="preserve">• Pulse (Mobile &amp; Web): </w:t>
      </w:r>
      <w:r>
        <w:t>Voluntary donor engagement, digital sovereign donor card, live deficit warnings, and airtime reward tracking.</w:t>
      </w:r>
    </w:p>
    <w:p>
      <w:r>
        <w:rPr>
          <w:b/>
          <w:color w:val="0F172A"/>
        </w:rPr>
        <w:t xml:space="preserve">• Sanctum (Hospital Terminal): </w:t>
      </w:r>
      <w:r>
        <w:t>Hospital blood bank inventory management, cold-chain monitoring, cross-matching, and transfusion logging.</w:t>
      </w:r>
    </w:p>
    <w:p>
      <w:r>
        <w:rPr>
          <w:b/>
          <w:color w:val="0F172A"/>
        </w:rPr>
        <w:t xml:space="preserve">• Crucible (Lab Workstation): </w:t>
      </w:r>
      <w:r>
        <w:t>Mandatory viral screening (HIV, HBV, HCV, Syphilis), ABO/Rh validation, quarantine clearance, and batch cryptographic certification.</w:t>
      </w:r>
    </w:p>
    <w:p>
      <w:r>
        <w:rPr>
          <w:b/>
          <w:color w:val="0F172A"/>
        </w:rPr>
        <w:t xml:space="preserve">• Vigil (National Command Grid): </w:t>
      </w:r>
      <w:r>
        <w:t>National real-time inventory overview for NBTS and Ministry of Health, shortage prediction heat maps, and transit rebalancing controls.</w:t>
      </w:r>
    </w:p>
    <w:p>
      <w:pPr>
        <w:pStyle w:val="Heading1"/>
      </w:pPr>
      <w:r>
        <w:t>3. Core Engines: Strand &amp; Torrent</w:t>
      </w:r>
    </w:p>
    <w:p>
      <w:r>
        <w:t>• Strand Cryptographic Ledger: Enforces immutable SHA-256 hash chains across every state transition (Donation → Collection → Viral Screening → Storage → Transfer → Transfusion), preventing tampering and counterfeit logging.</w:t>
      </w:r>
    </w:p>
    <w:p>
      <w:r>
        <w:t>• Torrent Smart Routing Engine: Evaluates shelf-life expiration risks, blood group compatibility (O- universal allocation), transit times across Botswana corridors, and emergency maternity ward deficits to automatically rebalance national stocks.</w:t>
      </w:r>
    </w:p>
    <w:p>
      <w:pPr>
        <w:pStyle w:val="Heading1"/>
      </w:pPr>
      <w:r>
        <w:t>4. Technology Stack &amp; Deployment</w:t>
      </w:r>
    </w:p>
    <w:p>
      <w:r>
        <w:t>• Monorepo Architecture: pnpm workspaces with React 19, React Native (Expo Router v54), Express 5 API Server, PostgreSQL 16, Drizzle ORM, and OpenAPI v3 typed contracts.</w:t>
        <w:br/>
        <w:t>• Production Endpoints: Live at https://bloodchain.life with API services hosted on Render (bloodchain-api.onrender.com) and compiled native Android binaries via Expo EAS.</w:t>
      </w:r>
    </w:p>
    <w:p>
      <w:pPr>
        <w:pStyle w:val="Heading1"/>
      </w:pPr>
      <w:r>
        <w:t>5. Implementation Roadmap</w:t>
      </w:r>
    </w:p>
    <w:p>
      <w:r>
        <w:t>• Phase 1: National Simulation Grid &amp; Monorepo Platform (Completed &amp; Live on bloodchain.life)</w:t>
        <w:br/>
        <w:t>• Phase 2: Pilot Deployment at Princess Marina Hospital &amp; NBTS Gaborone (Ready for Launch)</w:t>
        <w:br/>
        <w:t>• Phase 3: Regional expansion to Nyangabgwe (Francistown) &amp; Maun General Hospital (Q4 2026)</w:t>
        <w:br/>
        <w:t>• Phase 4: USSD / SMS national fallback integration via Africa's Talking (Q1 2027)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