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8681A" w14:textId="77777777" w:rsidR="00000000" w:rsidRDefault="00000000">
      <w:pPr>
        <w:pStyle w:val="Heading1"/>
        <w:pBdr>
          <w:bottom w:val="none" w:sz="0" w:space="0" w:color="auto"/>
        </w:pBdr>
        <w:spacing w:after="150" w:afterAutospacing="0"/>
        <w:jc w:val="center"/>
        <w:divId w:val="1464814324"/>
        <w:rPr>
          <w:rFonts w:eastAsia="Times New Roman"/>
          <w:sz w:val="56"/>
          <w:szCs w:val="56"/>
          <w:lang w:val="en"/>
        </w:rPr>
      </w:pPr>
      <w:r>
        <w:rPr>
          <w:rFonts w:eastAsia="Times New Roman"/>
          <w:sz w:val="56"/>
          <w:szCs w:val="56"/>
          <w:lang w:val="en"/>
        </w:rPr>
        <w:t>JHB CURTAIN CLEANING</w:t>
      </w:r>
    </w:p>
    <w:p w14:paraId="1A3E54A3" w14:textId="77777777" w:rsidR="00000000" w:rsidRDefault="00000000">
      <w:pPr>
        <w:pStyle w:val="NormalWeb"/>
        <w:spacing w:before="0" w:beforeAutospacing="0"/>
        <w:jc w:val="center"/>
        <w:divId w:val="1464814324"/>
        <w:rPr>
          <w:rFonts w:ascii="Georgia" w:hAnsi="Georgia"/>
          <w:b/>
          <w:bCs/>
          <w:color w:val="A87D43"/>
          <w:sz w:val="28"/>
          <w:szCs w:val="28"/>
          <w:lang w:val="en"/>
        </w:rPr>
      </w:pPr>
      <w:r>
        <w:rPr>
          <w:rFonts w:ascii="Georgia" w:hAnsi="Georgia"/>
          <w:b/>
          <w:bCs/>
          <w:color w:val="A87D43"/>
          <w:sz w:val="28"/>
          <w:szCs w:val="28"/>
          <w:lang w:val="en"/>
        </w:rPr>
        <w:t>Technical Specification &amp; Implementation Blueprint</w:t>
      </w:r>
    </w:p>
    <w:p w14:paraId="6441A49D" w14:textId="77777777" w:rsidR="00000000" w:rsidRDefault="00000000">
      <w:pPr>
        <w:pStyle w:val="NormalWeb"/>
        <w:jc w:val="center"/>
        <w:divId w:val="1464814324"/>
        <w:rPr>
          <w:rFonts w:ascii="Georgia" w:hAnsi="Georgia"/>
          <w:color w:val="7F8C8D"/>
          <w:sz w:val="20"/>
          <w:szCs w:val="20"/>
          <w:lang w:val="en"/>
        </w:rPr>
      </w:pPr>
      <w:r>
        <w:rPr>
          <w:rFonts w:ascii="Georgia" w:hAnsi="Georgia"/>
          <w:color w:val="7F8C8D"/>
          <w:sz w:val="20"/>
          <w:szCs w:val="20"/>
          <w:lang w:val="en"/>
        </w:rPr>
        <w:t>Target Core Phrase: "Curtain cleaning Johannesburg" | v2.0</w:t>
      </w:r>
    </w:p>
    <w:p w14:paraId="45550C1A" w14:textId="77777777" w:rsidR="00000000" w:rsidRDefault="00000000">
      <w:pPr>
        <w:pStyle w:val="Heading1"/>
        <w:divId w:val="1130325381"/>
        <w:rPr>
          <w:rFonts w:eastAsia="Times New Roman"/>
          <w:lang w:val="en"/>
        </w:rPr>
      </w:pPr>
      <w:r>
        <w:rPr>
          <w:rFonts w:eastAsia="Times New Roman"/>
          <w:lang w:val="en"/>
        </w:rPr>
        <w:t>1. Brand Identity &amp; Stitch Workspace</w:t>
      </w:r>
    </w:p>
    <w:p w14:paraId="6ABE1EF4" w14:textId="77777777" w:rsidR="00000000" w:rsidRDefault="00000000">
      <w:pPr>
        <w:pStyle w:val="NormalWeb"/>
        <w:divId w:val="1130325381"/>
        <w:rPr>
          <w:rFonts w:ascii="Georgia" w:hAnsi="Georgia"/>
          <w:color w:val="1A1A1A"/>
          <w:lang w:val="en"/>
        </w:rPr>
      </w:pPr>
      <w:r>
        <w:rPr>
          <w:rFonts w:ascii="Georgia" w:hAnsi="Georgia"/>
          <w:color w:val="1A1A1A"/>
          <w:lang w:val="en"/>
        </w:rPr>
        <w:t>The platform's visual identity is anchored by a bronze circular medallion seal with a stitched leather-patterned border. The outer ring displays "JHB CURTAIN CLEANING" and "ON-SITE CLEANING SPECIALISTS" in uppercase typography, separated by teal stars. The central sand-textured ivory field features deep teal-green draped curtains, an overlapping sweeping gold ring indicating motion, and scattered teal stars representing pristine execution.</w:t>
      </w:r>
    </w:p>
    <w:tbl>
      <w:tblPr>
        <w:tblW w:w="5000" w:type="pct"/>
        <w:tblCellMar>
          <w:top w:w="15" w:type="dxa"/>
          <w:left w:w="15" w:type="dxa"/>
          <w:bottom w:w="15" w:type="dxa"/>
          <w:right w:w="15" w:type="dxa"/>
        </w:tblCellMar>
        <w:tblLook w:val="04A0" w:firstRow="1" w:lastRow="0" w:firstColumn="1" w:lastColumn="0" w:noHBand="0" w:noVBand="1"/>
      </w:tblPr>
      <w:tblGrid>
        <w:gridCol w:w="1374"/>
        <w:gridCol w:w="5888"/>
        <w:gridCol w:w="2082"/>
      </w:tblGrid>
      <w:tr w:rsidR="00000000" w14:paraId="6CEC2D60" w14:textId="77777777">
        <w:trPr>
          <w:divId w:val="1130325381"/>
          <w:tblHeader/>
        </w:trPr>
        <w:tc>
          <w:tcPr>
            <w:tcW w:w="0" w:type="auto"/>
            <w:tcBorders>
              <w:top w:val="single" w:sz="6" w:space="0" w:color="DADAD7"/>
              <w:left w:val="single" w:sz="6" w:space="0" w:color="DADAD7"/>
              <w:bottom w:val="single" w:sz="6" w:space="0" w:color="DADAD7"/>
              <w:right w:val="single" w:sz="6" w:space="0" w:color="DADAD7"/>
            </w:tcBorders>
            <w:shd w:val="clear" w:color="auto" w:fill="064E3B"/>
            <w:tcMar>
              <w:top w:w="150" w:type="dxa"/>
              <w:left w:w="150" w:type="dxa"/>
              <w:bottom w:w="150" w:type="dxa"/>
              <w:right w:w="150" w:type="dxa"/>
            </w:tcMar>
            <w:vAlign w:val="center"/>
            <w:hideMark/>
          </w:tcPr>
          <w:p w14:paraId="1AB66ADB" w14:textId="77777777" w:rsidR="00000000" w:rsidRDefault="00000000">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Config Parameter</w:t>
            </w:r>
          </w:p>
        </w:tc>
        <w:tc>
          <w:tcPr>
            <w:tcW w:w="0" w:type="auto"/>
            <w:tcBorders>
              <w:top w:val="single" w:sz="6" w:space="0" w:color="DADAD7"/>
              <w:left w:val="single" w:sz="6" w:space="0" w:color="DADAD7"/>
              <w:bottom w:val="single" w:sz="6" w:space="0" w:color="DADAD7"/>
              <w:right w:val="single" w:sz="6" w:space="0" w:color="DADAD7"/>
            </w:tcBorders>
            <w:shd w:val="clear" w:color="auto" w:fill="064E3B"/>
            <w:tcMar>
              <w:top w:w="150" w:type="dxa"/>
              <w:left w:w="150" w:type="dxa"/>
              <w:bottom w:w="150" w:type="dxa"/>
              <w:right w:w="150" w:type="dxa"/>
            </w:tcMar>
            <w:vAlign w:val="center"/>
            <w:hideMark/>
          </w:tcPr>
          <w:p w14:paraId="632E22D5" w14:textId="77777777" w:rsidR="00000000" w:rsidRDefault="00000000">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Setting / Token Value</w:t>
            </w:r>
          </w:p>
        </w:tc>
        <w:tc>
          <w:tcPr>
            <w:tcW w:w="0" w:type="auto"/>
            <w:tcBorders>
              <w:top w:val="single" w:sz="6" w:space="0" w:color="DADAD7"/>
              <w:left w:val="single" w:sz="6" w:space="0" w:color="DADAD7"/>
              <w:bottom w:val="single" w:sz="6" w:space="0" w:color="DADAD7"/>
              <w:right w:val="single" w:sz="6" w:space="0" w:color="DADAD7"/>
            </w:tcBorders>
            <w:shd w:val="clear" w:color="auto" w:fill="064E3B"/>
            <w:tcMar>
              <w:top w:w="150" w:type="dxa"/>
              <w:left w:w="150" w:type="dxa"/>
              <w:bottom w:w="150" w:type="dxa"/>
              <w:right w:w="150" w:type="dxa"/>
            </w:tcMar>
            <w:vAlign w:val="center"/>
            <w:hideMark/>
          </w:tcPr>
          <w:p w14:paraId="7BFB25F5" w14:textId="77777777" w:rsidR="00000000" w:rsidRDefault="00000000">
            <w:pPr>
              <w:spacing w:before="300" w:after="300"/>
              <w:rPr>
                <w:rFonts w:ascii="Arial" w:eastAsia="Times New Roman" w:hAnsi="Arial" w:cs="Arial"/>
                <w:b/>
                <w:bCs/>
                <w:color w:val="FFFFFF"/>
                <w:sz w:val="20"/>
                <w:szCs w:val="20"/>
              </w:rPr>
            </w:pPr>
            <w:r>
              <w:rPr>
                <w:rFonts w:ascii="Arial" w:eastAsia="Times New Roman" w:hAnsi="Arial" w:cs="Arial"/>
                <w:b/>
                <w:bCs/>
                <w:color w:val="FFFFFF"/>
                <w:sz w:val="20"/>
                <w:szCs w:val="20"/>
              </w:rPr>
              <w:t>Target Scope</w:t>
            </w:r>
          </w:p>
        </w:tc>
      </w:tr>
      <w:tr w:rsidR="00000000" w14:paraId="620EEB78" w14:textId="77777777">
        <w:trPr>
          <w:divId w:val="1130325381"/>
        </w:trPr>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3B95A201"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Stitch API Key</w:t>
            </w:r>
          </w:p>
        </w:tc>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7674CA04"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AQ.Ab8RN6I52VtWs7F2O-h1Qtrr-0nZrMSojuGF6kOpq3INT0ihkA</w:t>
            </w:r>
          </w:p>
        </w:tc>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7976EA7E"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Development and MCP pipeline authentication</w:t>
            </w:r>
          </w:p>
        </w:tc>
      </w:tr>
      <w:tr w:rsidR="00000000" w14:paraId="329C34A5" w14:textId="77777777">
        <w:trPr>
          <w:divId w:val="1130325381"/>
        </w:trPr>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716C32A2"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Stitch Project URL</w:t>
            </w:r>
          </w:p>
        </w:tc>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5EDF5B19"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https://stitch.withgoogle.com/projects/13681111782633686811</w:t>
            </w:r>
          </w:p>
        </w:tc>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39B6BDCD"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Workspace asset repo and sync</w:t>
            </w:r>
          </w:p>
        </w:tc>
      </w:tr>
      <w:tr w:rsidR="00000000" w14:paraId="11D30B2C" w14:textId="77777777">
        <w:trPr>
          <w:divId w:val="1130325381"/>
        </w:trPr>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2D9C693F"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Logo Asset ID</w:t>
            </w:r>
          </w:p>
        </w:tc>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647E5E6A"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{{DATA:IMAGE:IMAGE_13}}</w:t>
            </w:r>
          </w:p>
        </w:tc>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5EF9021D"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Bronze seal injection (Navbar/Footer)</w:t>
            </w:r>
          </w:p>
        </w:tc>
      </w:tr>
      <w:tr w:rsidR="00000000" w14:paraId="6ADBADBA" w14:textId="77777777">
        <w:trPr>
          <w:divId w:val="1130325381"/>
        </w:trPr>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68605B64"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lastRenderedPageBreak/>
              <w:t>Primary Emerald</w:t>
            </w:r>
          </w:p>
        </w:tc>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539F054F"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#064e3b</w:t>
            </w:r>
          </w:p>
        </w:tc>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169B9CD1"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Accent headers, primary action borders</w:t>
            </w:r>
          </w:p>
        </w:tc>
      </w:tr>
      <w:tr w:rsidR="00000000" w14:paraId="73EDC598" w14:textId="77777777">
        <w:trPr>
          <w:divId w:val="1130325381"/>
        </w:trPr>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08A4B46E"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Primary Bronze</w:t>
            </w:r>
          </w:p>
        </w:tc>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31AA9D2E"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#a87d43</w:t>
            </w:r>
          </w:p>
        </w:tc>
        <w:tc>
          <w:tcPr>
            <w:tcW w:w="0" w:type="auto"/>
            <w:tcBorders>
              <w:top w:val="single" w:sz="6" w:space="0" w:color="DADAD7"/>
              <w:left w:val="single" w:sz="6" w:space="0" w:color="DADAD7"/>
              <w:bottom w:val="single" w:sz="6" w:space="0" w:color="DADAD7"/>
              <w:right w:val="single" w:sz="6" w:space="0" w:color="DADAD7"/>
            </w:tcBorders>
            <w:shd w:val="clear" w:color="auto" w:fill="F9F9F6"/>
            <w:tcMar>
              <w:top w:w="150" w:type="dxa"/>
              <w:left w:w="150" w:type="dxa"/>
              <w:bottom w:w="150" w:type="dxa"/>
              <w:right w:w="150" w:type="dxa"/>
            </w:tcMar>
            <w:vAlign w:val="center"/>
            <w:hideMark/>
          </w:tcPr>
          <w:p w14:paraId="795CB08B" w14:textId="77777777" w:rsidR="00000000" w:rsidRDefault="00000000">
            <w:pPr>
              <w:spacing w:before="300" w:after="300"/>
              <w:rPr>
                <w:rFonts w:ascii="Arial" w:eastAsia="Times New Roman" w:hAnsi="Arial" w:cs="Arial"/>
                <w:color w:val="1A1A1A"/>
                <w:sz w:val="20"/>
                <w:szCs w:val="20"/>
              </w:rPr>
            </w:pPr>
            <w:r>
              <w:rPr>
                <w:rFonts w:ascii="Arial" w:eastAsia="Times New Roman" w:hAnsi="Arial" w:cs="Arial"/>
                <w:color w:val="1A1A1A"/>
                <w:sz w:val="20"/>
                <w:szCs w:val="20"/>
              </w:rPr>
              <w:t>Diagonal sweep animations, trust seals</w:t>
            </w:r>
          </w:p>
        </w:tc>
      </w:tr>
    </w:tbl>
    <w:p w14:paraId="03C2573A" w14:textId="77777777" w:rsidR="00000000" w:rsidRDefault="00000000">
      <w:pPr>
        <w:pStyle w:val="Heading1"/>
        <w:divId w:val="1130325381"/>
        <w:rPr>
          <w:rFonts w:eastAsia="Times New Roman"/>
          <w:lang w:val="en"/>
        </w:rPr>
      </w:pPr>
      <w:r>
        <w:rPr>
          <w:rFonts w:eastAsia="Times New Roman"/>
          <w:lang w:val="en"/>
        </w:rPr>
        <w:t>2. Unified Project Directory Architecture</w:t>
      </w:r>
    </w:p>
    <w:p w14:paraId="5198FB0D" w14:textId="77777777" w:rsidR="00000000" w:rsidRDefault="00000000">
      <w:pPr>
        <w:pStyle w:val="NormalWeb"/>
        <w:divId w:val="1130325381"/>
        <w:rPr>
          <w:rFonts w:ascii="Georgia" w:hAnsi="Georgia"/>
          <w:color w:val="1A1A1A"/>
          <w:lang w:val="en"/>
        </w:rPr>
      </w:pPr>
      <w:r>
        <w:rPr>
          <w:rFonts w:ascii="Georgia" w:hAnsi="Georgia"/>
          <w:color w:val="1A1A1A"/>
          <w:lang w:val="en"/>
        </w:rPr>
        <w:t>This Next.js 15 App Router architecture decouples static generated routes from independent background micro-services configured under Bun runtime environments.</w:t>
      </w:r>
    </w:p>
    <w:p w14:paraId="74E3F74A" w14:textId="77777777" w:rsidR="00000000" w:rsidRDefault="00000000">
      <w:pPr>
        <w:pStyle w:val="HTMLPreformatted"/>
        <w:divId w:val="1130325381"/>
        <w:rPr>
          <w:color w:val="1A1A1A"/>
          <w:lang w:val="en"/>
        </w:rPr>
      </w:pPr>
    </w:p>
    <w:p w14:paraId="6892BC5B" w14:textId="77777777" w:rsidR="00000000" w:rsidRDefault="00000000">
      <w:pPr>
        <w:pStyle w:val="HTMLPreformatted"/>
        <w:divId w:val="1130325381"/>
        <w:rPr>
          <w:color w:val="1A1A1A"/>
          <w:lang w:val="en"/>
        </w:rPr>
      </w:pPr>
      <w:r>
        <w:rPr>
          <w:color w:val="1A1A1A"/>
          <w:lang w:val="en"/>
        </w:rPr>
        <w:t>├── app/</w:t>
      </w:r>
    </w:p>
    <w:p w14:paraId="6050CD3E" w14:textId="77777777" w:rsidR="00000000" w:rsidRDefault="00000000">
      <w:pPr>
        <w:pStyle w:val="HTMLPreformatted"/>
        <w:divId w:val="1130325381"/>
        <w:rPr>
          <w:color w:val="1A1A1A"/>
          <w:lang w:val="en"/>
        </w:rPr>
      </w:pPr>
      <w:r>
        <w:rPr>
          <w:color w:val="1A1A1A"/>
          <w:lang w:val="en"/>
        </w:rPr>
        <w:t>│   ├── layout.tsx</w:t>
      </w:r>
    </w:p>
    <w:p w14:paraId="16DEA9BA" w14:textId="77777777" w:rsidR="00000000" w:rsidRDefault="00000000">
      <w:pPr>
        <w:pStyle w:val="HTMLPreformatted"/>
        <w:divId w:val="1130325381"/>
        <w:rPr>
          <w:color w:val="1A1A1A"/>
          <w:lang w:val="en"/>
        </w:rPr>
      </w:pPr>
      <w:r>
        <w:rPr>
          <w:color w:val="1A1A1A"/>
          <w:lang w:val="en"/>
        </w:rPr>
        <w:t>│   ├── page.tsx</w:t>
      </w:r>
    </w:p>
    <w:p w14:paraId="7722151D" w14:textId="77777777" w:rsidR="00000000" w:rsidRDefault="00000000">
      <w:pPr>
        <w:pStyle w:val="HTMLPreformatted"/>
        <w:divId w:val="1130325381"/>
        <w:rPr>
          <w:color w:val="1A1A1A"/>
          <w:lang w:val="en"/>
        </w:rPr>
      </w:pPr>
      <w:r>
        <w:rPr>
          <w:color w:val="1A1A1A"/>
          <w:lang w:val="en"/>
        </w:rPr>
        <w:t>│   ├── sitemap.ts</w:t>
      </w:r>
    </w:p>
    <w:p w14:paraId="719103DA" w14:textId="77777777" w:rsidR="00000000" w:rsidRDefault="00000000">
      <w:pPr>
        <w:pStyle w:val="HTMLPreformatted"/>
        <w:divId w:val="1130325381"/>
        <w:rPr>
          <w:color w:val="1A1A1A"/>
          <w:lang w:val="en"/>
        </w:rPr>
      </w:pPr>
      <w:r>
        <w:rPr>
          <w:color w:val="1A1A1A"/>
          <w:lang w:val="en"/>
        </w:rPr>
        <w:t>│   ├── robots.ts</w:t>
      </w:r>
    </w:p>
    <w:p w14:paraId="634DA805" w14:textId="77777777" w:rsidR="00000000" w:rsidRDefault="00000000">
      <w:pPr>
        <w:pStyle w:val="HTMLPreformatted"/>
        <w:divId w:val="1130325381"/>
        <w:rPr>
          <w:color w:val="1A1A1A"/>
          <w:lang w:val="en"/>
        </w:rPr>
      </w:pPr>
      <w:r>
        <w:rPr>
          <w:color w:val="1A1A1A"/>
          <w:lang w:val="en"/>
        </w:rPr>
        <w:t>│   ├── api/</w:t>
      </w:r>
    </w:p>
    <w:p w14:paraId="3533C253" w14:textId="77777777" w:rsidR="00000000" w:rsidRDefault="00000000">
      <w:pPr>
        <w:pStyle w:val="HTMLPreformatted"/>
        <w:divId w:val="1130325381"/>
        <w:rPr>
          <w:color w:val="1A1A1A"/>
          <w:lang w:val="en"/>
        </w:rPr>
      </w:pPr>
      <w:r>
        <w:rPr>
          <w:color w:val="1A1A1A"/>
          <w:lang w:val="en"/>
        </w:rPr>
        <w:t>│   │   ├── contact/route.ts</w:t>
      </w:r>
    </w:p>
    <w:p w14:paraId="1DB2C352" w14:textId="77777777" w:rsidR="00000000" w:rsidRDefault="00000000">
      <w:pPr>
        <w:pStyle w:val="HTMLPreformatted"/>
        <w:divId w:val="1130325381"/>
        <w:rPr>
          <w:color w:val="1A1A1A"/>
          <w:lang w:val="en"/>
        </w:rPr>
      </w:pPr>
      <w:r>
        <w:rPr>
          <w:color w:val="1A1A1A"/>
          <w:lang w:val="en"/>
        </w:rPr>
        <w:t>│   │   ├── partner/</w:t>
      </w:r>
    </w:p>
    <w:p w14:paraId="6DFBDA1B" w14:textId="77777777" w:rsidR="00000000" w:rsidRDefault="00000000">
      <w:pPr>
        <w:pStyle w:val="HTMLPreformatted"/>
        <w:divId w:val="1130325381"/>
        <w:rPr>
          <w:color w:val="1A1A1A"/>
          <w:lang w:val="en"/>
        </w:rPr>
      </w:pPr>
      <w:r>
        <w:rPr>
          <w:color w:val="1A1A1A"/>
          <w:lang w:val="en"/>
        </w:rPr>
        <w:t>│   │   │   ├── register/route.ts</w:t>
      </w:r>
    </w:p>
    <w:p w14:paraId="71EB3C49" w14:textId="77777777" w:rsidR="00000000" w:rsidRDefault="00000000">
      <w:pPr>
        <w:pStyle w:val="HTMLPreformatted"/>
        <w:divId w:val="1130325381"/>
        <w:rPr>
          <w:color w:val="1A1A1A"/>
          <w:lang w:val="en"/>
        </w:rPr>
      </w:pPr>
      <w:r>
        <w:rPr>
          <w:color w:val="1A1A1A"/>
          <w:lang w:val="en"/>
        </w:rPr>
        <w:t>│   │   │   └── track/route.ts</w:t>
      </w:r>
    </w:p>
    <w:p w14:paraId="6874ADBC" w14:textId="77777777" w:rsidR="00000000" w:rsidRDefault="00000000">
      <w:pPr>
        <w:pStyle w:val="HTMLPreformatted"/>
        <w:divId w:val="1130325381"/>
        <w:rPr>
          <w:color w:val="1A1A1A"/>
          <w:lang w:val="en"/>
        </w:rPr>
      </w:pPr>
      <w:r>
        <w:rPr>
          <w:color w:val="1A1A1A"/>
          <w:lang w:val="en"/>
        </w:rPr>
        <w:t>│   │   ├── newsletter/route.ts</w:t>
      </w:r>
    </w:p>
    <w:p w14:paraId="5F39F0D1" w14:textId="77777777" w:rsidR="00000000" w:rsidRDefault="00000000">
      <w:pPr>
        <w:pStyle w:val="HTMLPreformatted"/>
        <w:divId w:val="1130325381"/>
        <w:rPr>
          <w:color w:val="1A1A1A"/>
          <w:lang w:val="en"/>
        </w:rPr>
      </w:pPr>
      <w:r>
        <w:rPr>
          <w:color w:val="1A1A1A"/>
          <w:lang w:val="en"/>
        </w:rPr>
        <w:t>│   │   └── ai/</w:t>
      </w:r>
    </w:p>
    <w:p w14:paraId="4CD874DE" w14:textId="77777777" w:rsidR="00000000" w:rsidRDefault="00000000">
      <w:pPr>
        <w:pStyle w:val="HTMLPreformatted"/>
        <w:divId w:val="1130325381"/>
        <w:rPr>
          <w:color w:val="1A1A1A"/>
          <w:lang w:val="en"/>
        </w:rPr>
      </w:pPr>
      <w:r>
        <w:rPr>
          <w:color w:val="1A1A1A"/>
          <w:lang w:val="en"/>
        </w:rPr>
        <w:t>│   │       ├── stain-rescue/route.ts</w:t>
      </w:r>
    </w:p>
    <w:p w14:paraId="2708348D" w14:textId="77777777" w:rsidR="00000000" w:rsidRDefault="00000000">
      <w:pPr>
        <w:pStyle w:val="HTMLPreformatted"/>
        <w:divId w:val="1130325381"/>
        <w:rPr>
          <w:color w:val="1A1A1A"/>
          <w:lang w:val="en"/>
        </w:rPr>
      </w:pPr>
      <w:r>
        <w:rPr>
          <w:color w:val="1A1A1A"/>
          <w:lang w:val="en"/>
        </w:rPr>
        <w:t>│   │       └── chatbot/route.ts</w:t>
      </w:r>
    </w:p>
    <w:p w14:paraId="00D4DF24" w14:textId="77777777" w:rsidR="00000000" w:rsidRDefault="00000000">
      <w:pPr>
        <w:pStyle w:val="HTMLPreformatted"/>
        <w:divId w:val="1130325381"/>
        <w:rPr>
          <w:color w:val="1A1A1A"/>
          <w:lang w:val="en"/>
        </w:rPr>
      </w:pPr>
      <w:r>
        <w:rPr>
          <w:color w:val="1A1A1A"/>
          <w:lang w:val="en"/>
        </w:rPr>
        <w:t>│   ├── services/</w:t>
      </w:r>
    </w:p>
    <w:p w14:paraId="01811A5C" w14:textId="77777777" w:rsidR="00000000" w:rsidRDefault="00000000">
      <w:pPr>
        <w:pStyle w:val="HTMLPreformatted"/>
        <w:divId w:val="1130325381"/>
        <w:rPr>
          <w:color w:val="1A1A1A"/>
          <w:lang w:val="en"/>
        </w:rPr>
      </w:pPr>
      <w:r>
        <w:rPr>
          <w:color w:val="1A1A1A"/>
          <w:lang w:val="en"/>
        </w:rPr>
        <w:t>│   │   ├── page.tsx</w:t>
      </w:r>
    </w:p>
    <w:p w14:paraId="50DCEA54" w14:textId="77777777" w:rsidR="00000000" w:rsidRDefault="00000000">
      <w:pPr>
        <w:pStyle w:val="HTMLPreformatted"/>
        <w:divId w:val="1130325381"/>
        <w:rPr>
          <w:color w:val="1A1A1A"/>
          <w:lang w:val="en"/>
        </w:rPr>
      </w:pPr>
      <w:r>
        <w:rPr>
          <w:color w:val="1A1A1A"/>
          <w:lang w:val="en"/>
        </w:rPr>
        <w:t>│   │   └── [service]/page.tsx</w:t>
      </w:r>
    </w:p>
    <w:p w14:paraId="4616729D" w14:textId="77777777" w:rsidR="00000000" w:rsidRDefault="00000000">
      <w:pPr>
        <w:pStyle w:val="HTMLPreformatted"/>
        <w:divId w:val="1130325381"/>
        <w:rPr>
          <w:color w:val="1A1A1A"/>
          <w:lang w:val="en"/>
        </w:rPr>
      </w:pPr>
      <w:r>
        <w:rPr>
          <w:color w:val="1A1A1A"/>
          <w:lang w:val="en"/>
        </w:rPr>
        <w:t>│   ├── sectors/</w:t>
      </w:r>
    </w:p>
    <w:p w14:paraId="6637D74F" w14:textId="77777777" w:rsidR="00000000" w:rsidRDefault="00000000">
      <w:pPr>
        <w:pStyle w:val="HTMLPreformatted"/>
        <w:divId w:val="1130325381"/>
        <w:rPr>
          <w:color w:val="1A1A1A"/>
          <w:lang w:val="en"/>
        </w:rPr>
      </w:pPr>
      <w:r>
        <w:rPr>
          <w:color w:val="1A1A1A"/>
          <w:lang w:val="en"/>
        </w:rPr>
        <w:t>│   │   ├── page.tsx</w:t>
      </w:r>
    </w:p>
    <w:p w14:paraId="074BEF95" w14:textId="77777777" w:rsidR="00000000" w:rsidRDefault="00000000">
      <w:pPr>
        <w:pStyle w:val="HTMLPreformatted"/>
        <w:divId w:val="1130325381"/>
        <w:rPr>
          <w:color w:val="1A1A1A"/>
          <w:lang w:val="en"/>
        </w:rPr>
      </w:pPr>
      <w:r>
        <w:rPr>
          <w:color w:val="1A1A1A"/>
          <w:lang w:val="en"/>
        </w:rPr>
        <w:t>│   │   └── [sector]/page.tsx</w:t>
      </w:r>
    </w:p>
    <w:p w14:paraId="0732E09A" w14:textId="77777777" w:rsidR="00000000" w:rsidRDefault="00000000">
      <w:pPr>
        <w:pStyle w:val="HTMLPreformatted"/>
        <w:divId w:val="1130325381"/>
        <w:rPr>
          <w:color w:val="1A1A1A"/>
          <w:lang w:val="en"/>
        </w:rPr>
      </w:pPr>
      <w:r>
        <w:rPr>
          <w:color w:val="1A1A1A"/>
          <w:lang w:val="en"/>
        </w:rPr>
        <w:t>│   ├── areas/</w:t>
      </w:r>
    </w:p>
    <w:p w14:paraId="45DF33A2" w14:textId="77777777" w:rsidR="00000000" w:rsidRDefault="00000000">
      <w:pPr>
        <w:pStyle w:val="HTMLPreformatted"/>
        <w:divId w:val="1130325381"/>
        <w:rPr>
          <w:color w:val="1A1A1A"/>
          <w:lang w:val="en"/>
        </w:rPr>
      </w:pPr>
      <w:r>
        <w:rPr>
          <w:color w:val="1A1A1A"/>
          <w:lang w:val="en"/>
        </w:rPr>
        <w:t>│   │   ├── page.tsx</w:t>
      </w:r>
    </w:p>
    <w:p w14:paraId="1ECCB6D4" w14:textId="77777777" w:rsidR="00000000" w:rsidRDefault="00000000">
      <w:pPr>
        <w:pStyle w:val="HTMLPreformatted"/>
        <w:divId w:val="1130325381"/>
        <w:rPr>
          <w:color w:val="1A1A1A"/>
          <w:lang w:val="en"/>
        </w:rPr>
      </w:pPr>
      <w:r>
        <w:rPr>
          <w:color w:val="1A1A1A"/>
          <w:lang w:val="en"/>
        </w:rPr>
        <w:t>│   │   └── [region]/[suburb]/page.tsx</w:t>
      </w:r>
    </w:p>
    <w:p w14:paraId="2E8EA8DA" w14:textId="77777777" w:rsidR="00000000" w:rsidRDefault="00000000">
      <w:pPr>
        <w:pStyle w:val="HTMLPreformatted"/>
        <w:divId w:val="1130325381"/>
        <w:rPr>
          <w:color w:val="1A1A1A"/>
          <w:lang w:val="en"/>
        </w:rPr>
      </w:pPr>
      <w:r>
        <w:rPr>
          <w:color w:val="1A1A1A"/>
          <w:lang w:val="en"/>
        </w:rPr>
        <w:t xml:space="preserve">    </w:t>
      </w:r>
    </w:p>
    <w:p w14:paraId="31F071C3" w14:textId="77777777" w:rsidR="00000000" w:rsidRDefault="00000000">
      <w:pPr>
        <w:pStyle w:val="Heading1"/>
        <w:divId w:val="1130325381"/>
        <w:rPr>
          <w:rFonts w:eastAsia="Times New Roman"/>
          <w:lang w:val="en"/>
        </w:rPr>
      </w:pPr>
      <w:r>
        <w:rPr>
          <w:rFonts w:eastAsia="Times New Roman"/>
          <w:lang w:val="en"/>
        </w:rPr>
        <w:t>3. Frontend Engineering &amp; Design System</w:t>
      </w:r>
    </w:p>
    <w:p w14:paraId="70491303" w14:textId="77777777" w:rsidR="00000000" w:rsidRDefault="00000000">
      <w:pPr>
        <w:pStyle w:val="NormalWeb"/>
        <w:divId w:val="1130325381"/>
        <w:rPr>
          <w:rFonts w:ascii="Georgia" w:hAnsi="Georgia"/>
          <w:color w:val="1A1A1A"/>
          <w:lang w:val="en"/>
        </w:rPr>
      </w:pPr>
      <w:r>
        <w:rPr>
          <w:rFonts w:ascii="Georgia" w:hAnsi="Georgia"/>
          <w:color w:val="1A1A1A"/>
          <w:lang w:val="en"/>
        </w:rPr>
        <w:t xml:space="preserve">The layout leverages smooth inertial scrolling handled via a Lenis scroll thread combined with GSAP 3.15 scroll triggers. Interactivity features such as the </w:t>
      </w:r>
      <w:r>
        <w:rPr>
          <w:rStyle w:val="Strong"/>
          <w:rFonts w:ascii="Georgia" w:hAnsi="Georgia"/>
          <w:color w:val="1A1A1A"/>
          <w:lang w:val="en"/>
        </w:rPr>
        <w:t>AI Stain Analyzer</w:t>
      </w:r>
      <w:r>
        <w:rPr>
          <w:rFonts w:ascii="Georgia" w:hAnsi="Georgia"/>
          <w:color w:val="1A1A1A"/>
          <w:lang w:val="en"/>
        </w:rPr>
        <w:t xml:space="preserve"> are dynamically loaded asynchronously using code splitting to hit core performance thresholds (LCP ≤ 2.5s, INP ≤ 200ms, CLS ≤ 0.1).</w:t>
      </w:r>
    </w:p>
    <w:p w14:paraId="3E6B5DBD" w14:textId="77777777" w:rsidR="00000000" w:rsidRDefault="00000000">
      <w:pPr>
        <w:pStyle w:val="Heading1"/>
        <w:divId w:val="1130325381"/>
        <w:rPr>
          <w:rFonts w:eastAsia="Times New Roman"/>
          <w:lang w:val="en"/>
        </w:rPr>
      </w:pPr>
      <w:r>
        <w:rPr>
          <w:rFonts w:eastAsia="Times New Roman"/>
          <w:lang w:val="en"/>
        </w:rPr>
        <w:t>4. Compliance &amp; Data Protection Framework</w:t>
      </w:r>
    </w:p>
    <w:p w14:paraId="37F7FB0B" w14:textId="77777777" w:rsidR="00000000" w:rsidRDefault="00000000">
      <w:pPr>
        <w:pStyle w:val="NormalWeb"/>
        <w:shd w:val="clear" w:color="auto" w:fill="F9F9F6"/>
        <w:divId w:val="2071610438"/>
        <w:rPr>
          <w:rFonts w:ascii="Georgia" w:hAnsi="Georgia"/>
          <w:color w:val="1A1A1A"/>
          <w:lang w:val="en"/>
        </w:rPr>
      </w:pPr>
      <w:r>
        <w:rPr>
          <w:rStyle w:val="Strong"/>
          <w:rFonts w:ascii="Georgia" w:hAnsi="Georgia"/>
          <w:color w:val="1A1A1A"/>
          <w:lang w:val="en"/>
        </w:rPr>
        <w:t>South African Regulatory Mandate:</w:t>
      </w:r>
      <w:r>
        <w:rPr>
          <w:rFonts w:ascii="Georgia" w:hAnsi="Georgia"/>
          <w:color w:val="1A1A1A"/>
          <w:lang w:val="en"/>
        </w:rPr>
        <w:t xml:space="preserve"> In accordance with the Protection of Personal Information Act (POPIA) and the Promotion of Access to Information Act (PAIA), no tracking pixels or analytic endpoints (such as Google Tag Manager, GA4, Microsoft Clarity, or Facebook Pixels) may load before explicit consent is granted via the cookies banner.[5, 6] Complete record audit trails logging active consent timestamp, source, and IP identifiers must be registered in the backend database.[5, 7, 8]</w:t>
      </w:r>
    </w:p>
    <w:p w14:paraId="3F66B79A" w14:textId="77777777" w:rsidR="00000000" w:rsidRDefault="00000000">
      <w:pPr>
        <w:pStyle w:val="Heading3"/>
        <w:divId w:val="1130325381"/>
        <w:rPr>
          <w:rFonts w:eastAsia="Times New Roman"/>
          <w:lang w:val="en"/>
        </w:rPr>
      </w:pPr>
      <w:r>
        <w:rPr>
          <w:rFonts w:eastAsia="Times New Roman"/>
          <w:lang w:val="en"/>
        </w:rPr>
        <w:t>PAIA Section 51 Requisition Protocol</w:t>
      </w:r>
    </w:p>
    <w:p w14:paraId="629E6A48" w14:textId="77777777" w:rsidR="00487B3B" w:rsidRDefault="00000000">
      <w:pPr>
        <w:pStyle w:val="NormalWeb"/>
        <w:divId w:val="1130325381"/>
        <w:rPr>
          <w:rFonts w:ascii="Georgia" w:hAnsi="Georgia"/>
          <w:color w:val="1A1A1A"/>
          <w:lang w:val="en"/>
        </w:rPr>
      </w:pPr>
      <w:r>
        <w:rPr>
          <w:rFonts w:ascii="Georgia" w:hAnsi="Georgia"/>
          <w:color w:val="1A1A1A"/>
          <w:lang w:val="en"/>
        </w:rPr>
        <w:t>Private bodies are legally required to establish public procedures for information requisition under PAIA regulations.[9, 10] Requisitions must be formally requested via official PAIA Form 2.[11, 12] Annual compliance reports detailing all processed or refused requests must be logged through the Information Regulator portal between April 1st and June 30th annually.[4, 9]</w:t>
      </w:r>
    </w:p>
    <w:sectPr w:rsidR="00487B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fair Display">
    <w:charset w:val="00"/>
    <w:family w:val="auto"/>
    <w:pitch w:val="variable"/>
    <w:sig w:usb0="20000207" w:usb1="00000000" w:usb2="00000000" w:usb3="00000000" w:csb0="00000197"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noPunctuationKerning/>
  <w:characterSpacingControl w:val="doNotCompress"/>
  <w:savePreviewPicture/>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55CC"/>
    <w:rsid w:val="003555CC"/>
    <w:rsid w:val="00487B3B"/>
    <w:rsid w:val="00AE6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46D1F"/>
  <w15:chartTrackingRefBased/>
  <w15:docId w15:val="{BD89616E-4D69-4AE3-A137-AB9602A9A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8" w:color="A87D43"/>
      </w:pBdr>
      <w:spacing w:before="450" w:after="100" w:afterAutospacing="1"/>
      <w:outlineLvl w:val="0"/>
    </w:pPr>
    <w:rPr>
      <w:rFonts w:ascii="Playfair Display" w:hAnsi="Playfair Display"/>
      <w:b/>
      <w:bCs/>
      <w:color w:val="064E3B"/>
      <w:kern w:val="36"/>
      <w:sz w:val="48"/>
      <w:szCs w:val="48"/>
    </w:rPr>
  </w:style>
  <w:style w:type="paragraph" w:styleId="Heading2">
    <w:name w:val="heading 2"/>
    <w:basedOn w:val="Normal"/>
    <w:link w:val="Heading2Char"/>
    <w:uiPriority w:val="9"/>
    <w:qFormat/>
    <w:pPr>
      <w:pBdr>
        <w:bottom w:val="single" w:sz="6" w:space="4" w:color="DADAD7"/>
      </w:pBdr>
      <w:spacing w:before="375" w:after="100" w:afterAutospacing="1"/>
      <w:outlineLvl w:val="1"/>
    </w:pPr>
    <w:rPr>
      <w:rFonts w:ascii="Playfair Display" w:hAnsi="Playfair Display"/>
      <w:b/>
      <w:bCs/>
      <w:color w:val="A87D43"/>
      <w:sz w:val="36"/>
      <w:szCs w:val="36"/>
    </w:rPr>
  </w:style>
  <w:style w:type="paragraph" w:styleId="Heading3">
    <w:name w:val="heading 3"/>
    <w:basedOn w:val="Normal"/>
    <w:link w:val="Heading3Char"/>
    <w:uiPriority w:val="9"/>
    <w:qFormat/>
    <w:pPr>
      <w:spacing w:before="300" w:after="100" w:afterAutospacing="1"/>
      <w:outlineLvl w:val="2"/>
    </w:pPr>
    <w:rPr>
      <w:rFonts w:ascii="Arial" w:hAnsi="Arial" w:cs="Arial"/>
      <w:b/>
      <w:bCs/>
      <w:color w:val="064E3B"/>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vanish w:val="0"/>
      <w:webHidden w:val="0"/>
      <w:sz w:val="19"/>
      <w:szCs w:val="19"/>
      <w:shd w:val="clear" w:color="auto" w:fill="F4F4F4"/>
      <w:specVanish w:val="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left w:val="single" w:sz="18" w:space="8" w:color="A87D43"/>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rPr>
      <w:sz w:val="22"/>
      <w:szCs w:val="22"/>
    </w:rPr>
  </w:style>
  <w:style w:type="paragraph" w:styleId="NormalWeb">
    <w:name w:val="Normal (Web)"/>
    <w:basedOn w:val="Normal"/>
    <w:uiPriority w:val="99"/>
    <w:semiHidden/>
    <w:unhideWhenUsed/>
    <w:pPr>
      <w:spacing w:before="100" w:beforeAutospacing="1" w:after="100" w:afterAutospacing="1"/>
    </w:pPr>
    <w:rPr>
      <w:sz w:val="22"/>
      <w:szCs w:val="22"/>
    </w:rPr>
  </w:style>
  <w:style w:type="paragraph" w:customStyle="1" w:styleId="highlight-box">
    <w:name w:val="highlight-box"/>
    <w:basedOn w:val="Normal"/>
    <w:pPr>
      <w:pBdr>
        <w:left w:val="single" w:sz="24" w:space="11" w:color="064E3B"/>
      </w:pBdr>
      <w:shd w:val="clear" w:color="auto" w:fill="F9F9F6"/>
      <w:spacing w:before="300" w:after="300"/>
    </w:pPr>
    <w:rPr>
      <w:sz w:val="22"/>
      <w:szCs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325381">
      <w:bodyDiv w:val="1"/>
      <w:marLeft w:val="600"/>
      <w:marRight w:val="600"/>
      <w:marTop w:val="600"/>
      <w:marBottom w:val="600"/>
      <w:divBdr>
        <w:top w:val="none" w:sz="0" w:space="0" w:color="auto"/>
        <w:left w:val="none" w:sz="0" w:space="0" w:color="auto"/>
        <w:bottom w:val="none" w:sz="0" w:space="0" w:color="auto"/>
        <w:right w:val="none" w:sz="0" w:space="0" w:color="auto"/>
      </w:divBdr>
      <w:divsChild>
        <w:div w:id="1464814324">
          <w:marLeft w:val="0"/>
          <w:marRight w:val="0"/>
          <w:marTop w:val="0"/>
          <w:marBottom w:val="750"/>
          <w:divBdr>
            <w:top w:val="none" w:sz="0" w:space="0" w:color="auto"/>
            <w:left w:val="none" w:sz="0" w:space="0" w:color="auto"/>
            <w:bottom w:val="none" w:sz="0" w:space="0" w:color="auto"/>
            <w:right w:val="none" w:sz="0" w:space="0" w:color="auto"/>
          </w:divBdr>
        </w:div>
        <w:div w:id="2071610438">
          <w:marLeft w:val="0"/>
          <w:marRight w:val="0"/>
          <w:marTop w:val="300"/>
          <w:marBottom w:val="300"/>
          <w:divBdr>
            <w:top w:val="none" w:sz="0" w:space="0" w:color="auto"/>
            <w:left w:val="single" w:sz="24" w:space="11" w:color="064E3B"/>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467</Words>
  <Characters>2666</Characters>
  <Application>Microsoft Office Word</Application>
  <DocSecurity>0</DocSecurity>
  <Lines>22</Lines>
  <Paragraphs>6</Paragraphs>
  <ScaleCrop>false</ScaleCrop>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JHB Curtain Cleaning - Technical Design Specification</dc:title>
  <dc:subject/>
  <dc:creator>Stephen dunlop</dc:creator>
  <cp:keywords/>
  <dc:description/>
  <cp:lastModifiedBy>Stephen dunlop</cp:lastModifiedBy>
  <cp:revision>2</cp:revision>
  <dcterms:created xsi:type="dcterms:W3CDTF">2026-06-19T23:41:00Z</dcterms:created>
  <dcterms:modified xsi:type="dcterms:W3CDTF">2026-06-19T23:41:00Z</dcterms:modified>
</cp:coreProperties>
</file>