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2467" w14:textId="05BF9908" w:rsidR="002A57BA" w:rsidRPr="008F2549" w:rsidRDefault="00D755B6" w:rsidP="00E10C93">
      <w:pPr>
        <w:pStyle w:val="1ICIET2025Title"/>
        <w:jc w:val="center"/>
      </w:pPr>
      <w:r>
        <w:t>A Clinical Evaluation of Deep Learning-Based Detection of Intertrochanteric Femoral Fractures in X-ray Images</w:t>
      </w:r>
    </w:p>
    <w:p w14:paraId="0DC8F447" w14:textId="77777777" w:rsidR="00146268" w:rsidRDefault="00564D3D" w:rsidP="003D352C">
      <w:pPr>
        <w:pStyle w:val="Heading5"/>
        <w:rPr>
          <w:color w:val="0070C0"/>
        </w:rPr>
      </w:pPr>
      <w:r w:rsidRPr="003D352C">
        <w:rPr>
          <w:rStyle w:val="Heading4Char"/>
          <w:rFonts w:cs="Times New Roman"/>
          <w:iCs w:val="0"/>
          <w:color w:val="auto"/>
          <w:szCs w:val="22"/>
        </w:rPr>
        <w:t>Abstract</w:t>
      </w:r>
      <w:r w:rsidR="002A57BA" w:rsidRPr="008F2549">
        <w:t xml:space="preserve"> </w:t>
      </w:r>
    </w:p>
    <w:p w14:paraId="10D92122" w14:textId="0514A611" w:rsidR="00D755B6" w:rsidRPr="00E10C93" w:rsidRDefault="00D755B6" w:rsidP="00D755B6">
      <w:pPr>
        <w:pStyle w:val="7ICIET2025KeywordsHeading"/>
        <w:jc w:val="both"/>
        <w:rPr>
          <w:b w:val="0"/>
          <w:bCs/>
        </w:rPr>
      </w:pPr>
      <w:bookmarkStart w:id="0" w:name="_Hlk204953350"/>
      <w:r>
        <w:rPr>
          <w:b w:val="0"/>
        </w:rPr>
        <w:t xml:space="preserve">Intertrochanteric femoral fractures are a serious condition common among the elderly because they are associated with high morbidity and mortality. Precise identification is crucial for prompt treatment, but it can be quite difficult when interpreting X-rays individually due to anatomical complexity and variability. In this study, deep learning models are used to optimize the binary classification of intertrochanteric femoral fractures within X-ray images. An X-ray dataset of about 1,000 images from hospital PACS was used, including both fracture and non-fracture cases. A convolutional neural network (CNN), comprising ResNet50, ResNet101, InceptionV3, and a custom CNN, was fine-tuned using preprocessing and augmentation to manage clinical variability. The models' performance was evaluated based on accuracy, precision, and sensitivity, with ResNet101 achieving the highest results (accuracy: 0.8000, precision: 0.8179). </w:t>
      </w:r>
      <w:r w:rsidR="006E3557" w:rsidRPr="00E10C93">
        <w:rPr>
          <w:b w:val="0"/>
          <w:bCs/>
        </w:rPr>
        <w:t>Statistical validation</w:t>
      </w:r>
      <w:r w:rsidR="006E3557" w:rsidRPr="00E10C93">
        <w:rPr>
          <w:b w:val="0"/>
          <w:bCs/>
        </w:rPr>
        <w:t xml:space="preserve"> </w:t>
      </w:r>
      <w:r w:rsidR="006E3557" w:rsidRPr="00E10C93">
        <w:rPr>
          <w:b w:val="0"/>
          <w:bCs/>
        </w:rPr>
        <w:t xml:space="preserve">was conducted </w:t>
      </w:r>
      <w:r w:rsidR="00E10C93">
        <w:rPr>
          <w:b w:val="0"/>
          <w:bCs/>
        </w:rPr>
        <w:t xml:space="preserve">using </w:t>
      </w:r>
      <w:r w:rsidR="006E3557" w:rsidRPr="00E10C93">
        <w:rPr>
          <w:b w:val="0"/>
          <w:bCs/>
        </w:rPr>
        <w:t>confidence intervals (</w:t>
      </w:r>
      <w:r w:rsidR="00E10C93">
        <w:rPr>
          <w:b w:val="0"/>
          <w:bCs/>
        </w:rPr>
        <w:t>90%, 95%, and 99%)</w:t>
      </w:r>
      <w:r w:rsidR="006E3557" w:rsidRPr="00E10C93">
        <w:rPr>
          <w:b w:val="0"/>
          <w:bCs/>
        </w:rPr>
        <w:t xml:space="preserve"> CI for fracture </w:t>
      </w:r>
      <w:r w:rsidR="00E10C93">
        <w:rPr>
          <w:b w:val="0"/>
          <w:bCs/>
        </w:rPr>
        <w:t xml:space="preserve">and </w:t>
      </w:r>
      <w:r w:rsidR="006E3557" w:rsidRPr="00E10C93">
        <w:rPr>
          <w:b w:val="0"/>
          <w:bCs/>
        </w:rPr>
        <w:t>non-fracture</w:t>
      </w:r>
      <w:r w:rsidR="00E10C93">
        <w:rPr>
          <w:b w:val="0"/>
          <w:bCs/>
        </w:rPr>
        <w:t xml:space="preserve"> </w:t>
      </w:r>
      <w:proofErr w:type="gramStart"/>
      <w:r w:rsidR="00E10C93" w:rsidRPr="00E10C93">
        <w:rPr>
          <w:b w:val="0"/>
          <w:bCs/>
        </w:rPr>
        <w:t>detection</w:t>
      </w:r>
      <w:r w:rsidR="00E10C93">
        <w:rPr>
          <w:b w:val="0"/>
          <w:bCs/>
        </w:rPr>
        <w:t xml:space="preserve"> </w:t>
      </w:r>
      <w:r w:rsidR="00E10C93">
        <w:rPr>
          <w:b w:val="0"/>
          <w:bCs/>
        </w:rPr>
        <w:t>.</w:t>
      </w:r>
      <w:proofErr w:type="gramEnd"/>
      <w:r w:rsidR="00E10C93">
        <w:rPr>
          <w:b w:val="0"/>
          <w:bCs/>
        </w:rPr>
        <w:t xml:space="preserve"> </w:t>
      </w:r>
      <w:r>
        <w:rPr>
          <w:b w:val="0"/>
        </w:rPr>
        <w:t xml:space="preserve">The improved diagnostic accuracy has significant clinical implications, enabling faster diagnoses and better outcomes in time-sensitive environments. This study demonstrates the promising potential of deep learning </w:t>
      </w:r>
      <w:r w:rsidR="00704888">
        <w:rPr>
          <w:b w:val="0"/>
        </w:rPr>
        <w:t>in addressing diagnostic challenges in the identification of intertrochanteric femoral fractures</w:t>
      </w:r>
      <w:r>
        <w:rPr>
          <w:b w:val="0"/>
        </w:rPr>
        <w:t>, supporting its integration into clinical practice.</w:t>
      </w:r>
    </w:p>
    <w:bookmarkEnd w:id="0"/>
    <w:p w14:paraId="440D85C3" w14:textId="5ED3D048" w:rsidR="00D755B6" w:rsidRPr="00D61673" w:rsidRDefault="00564D3D" w:rsidP="00D61673">
      <w:pPr>
        <w:pStyle w:val="7ICIET2025KeywordsHeading"/>
        <w:jc w:val="both"/>
        <w:rPr>
          <w:color w:val="000000" w:themeColor="text1"/>
        </w:rPr>
      </w:pPr>
      <w:r w:rsidRPr="001D36B1">
        <w:t>Keywords:</w:t>
      </w:r>
      <w:r w:rsidRPr="002F511A">
        <w:t xml:space="preserve"> </w:t>
      </w:r>
      <w:r w:rsidR="00D755B6" w:rsidRPr="00043BD5">
        <w:rPr>
          <w:color w:val="000000" w:themeColor="text1"/>
        </w:rPr>
        <w:t>intertrochanteric femoral fractures</w:t>
      </w:r>
      <w:r w:rsidR="00D755B6">
        <w:rPr>
          <w:color w:val="000000" w:themeColor="text1"/>
        </w:rPr>
        <w:t xml:space="preserve">; </w:t>
      </w:r>
      <w:r w:rsidR="00D755B6" w:rsidRPr="00043BD5">
        <w:rPr>
          <w:color w:val="000000" w:themeColor="text1"/>
        </w:rPr>
        <w:t>deep learning</w:t>
      </w:r>
      <w:r w:rsidR="00D755B6">
        <w:rPr>
          <w:color w:val="000000" w:themeColor="text1"/>
        </w:rPr>
        <w:t>;</w:t>
      </w:r>
      <w:r w:rsidR="00D755B6" w:rsidRPr="00043BD5">
        <w:rPr>
          <w:color w:val="000000" w:themeColor="text1"/>
        </w:rPr>
        <w:t xml:space="preserve"> x-ray imaging</w:t>
      </w:r>
      <w:r w:rsidR="00D755B6">
        <w:rPr>
          <w:color w:val="000000" w:themeColor="text1"/>
        </w:rPr>
        <w:t>;</w:t>
      </w:r>
      <w:r w:rsidR="00D755B6" w:rsidRPr="00043BD5">
        <w:rPr>
          <w:color w:val="000000" w:themeColor="text1"/>
        </w:rPr>
        <w:t xml:space="preserve"> fracture detection</w:t>
      </w:r>
      <w:r w:rsidR="00D755B6">
        <w:rPr>
          <w:color w:val="000000" w:themeColor="text1"/>
        </w:rPr>
        <w:t>;</w:t>
      </w:r>
      <w:r w:rsidR="00D755B6" w:rsidRPr="00043BD5">
        <w:rPr>
          <w:color w:val="000000" w:themeColor="text1"/>
        </w:rPr>
        <w:t xml:space="preserve"> convolutional neural network</w:t>
      </w:r>
    </w:p>
    <w:p w14:paraId="233C6531" w14:textId="63EADC2D" w:rsidR="00146268" w:rsidRDefault="00C80176" w:rsidP="003D352C">
      <w:pPr>
        <w:pStyle w:val="Heading5"/>
      </w:pPr>
      <w:r>
        <w:t>Introduction</w:t>
      </w:r>
      <w:r w:rsidRPr="008F2549">
        <w:t xml:space="preserve"> </w:t>
      </w:r>
    </w:p>
    <w:p w14:paraId="23D17671" w14:textId="2A3BD457" w:rsidR="00704888" w:rsidRDefault="00704888" w:rsidP="00704888">
      <w:pPr>
        <w:spacing w:line="360" w:lineRule="auto"/>
        <w:rPr>
          <w:rFonts w:ascii="Times New Roman" w:hAnsi="Times New Roman"/>
          <w:bCs/>
          <w:color w:val="000000" w:themeColor="text1"/>
          <w:sz w:val="22"/>
        </w:rPr>
      </w:pPr>
      <w:r>
        <w:rPr>
          <w:rFonts w:ascii="Times New Roman" w:hAnsi="Times New Roman"/>
          <w:bCs/>
          <w:color w:val="000000" w:themeColor="text1"/>
          <w:sz w:val="22"/>
        </w:rPr>
        <w:t>Intertrochanteric femoral fractures occur along the site between the greater and lesser trochanters of the proximal femur, making them a significant orthopedic concern, especially in older adults</w:t>
      </w:r>
      <w:r w:rsidR="00CC1F61">
        <w:rPr>
          <w:rFonts w:ascii="Times New Roman" w:hAnsi="Times New Roman"/>
          <w:bCs/>
          <w:color w:val="000000" w:themeColor="text1"/>
          <w:sz w:val="22"/>
        </w:rPr>
        <w:t xml:space="preserve"> [1]</w:t>
      </w:r>
      <w:r>
        <w:rPr>
          <w:rFonts w:ascii="Times New Roman" w:hAnsi="Times New Roman"/>
          <w:bCs/>
          <w:color w:val="000000" w:themeColor="text1"/>
          <w:sz w:val="22"/>
        </w:rPr>
        <w:t>. These fractures are typically caused by minimal impact injuries, such as falls in individuals with poor bone density due to osteoporosis, though high-impact injuries can also affect younger populations</w:t>
      </w:r>
      <w:r w:rsidR="00CC1F61">
        <w:rPr>
          <w:rFonts w:ascii="Times New Roman" w:hAnsi="Times New Roman"/>
          <w:bCs/>
          <w:color w:val="000000" w:themeColor="text1"/>
          <w:sz w:val="22"/>
        </w:rPr>
        <w:t xml:space="preserve"> [2]</w:t>
      </w:r>
      <w:r>
        <w:rPr>
          <w:rFonts w:ascii="Times New Roman" w:hAnsi="Times New Roman"/>
          <w:bCs/>
          <w:color w:val="000000" w:themeColor="text1"/>
          <w:sz w:val="22"/>
        </w:rPr>
        <w:t xml:space="preserve">. The intertrochanteric region is crucial for support and movement, as it bears weight and allows for easy mobility. Fractures in this area can destabilize the hip, leading to serious functional loss. Early and accurate diagnosis is essential to determine the appropriate treatment, which may involve surgical procedures like intramedullary nailing or </w:t>
      </w:r>
      <w:r w:rsidR="00CC1F61">
        <w:rPr>
          <w:rFonts w:ascii="Times New Roman" w:hAnsi="Times New Roman"/>
          <w:bCs/>
          <w:color w:val="000000" w:themeColor="text1"/>
          <w:sz w:val="22"/>
        </w:rPr>
        <w:t xml:space="preserve">a </w:t>
      </w:r>
      <w:r>
        <w:rPr>
          <w:rFonts w:ascii="Times New Roman" w:hAnsi="Times New Roman"/>
          <w:bCs/>
          <w:color w:val="000000" w:themeColor="text1"/>
          <w:sz w:val="22"/>
        </w:rPr>
        <w:t>dynamic hip screw</w:t>
      </w:r>
      <w:r w:rsidR="00CC1F61">
        <w:rPr>
          <w:rFonts w:ascii="Times New Roman" w:hAnsi="Times New Roman"/>
          <w:bCs/>
          <w:color w:val="000000" w:themeColor="text1"/>
          <w:sz w:val="22"/>
        </w:rPr>
        <w:t xml:space="preserve"> [3]</w:t>
      </w:r>
      <w:r>
        <w:rPr>
          <w:rFonts w:ascii="Times New Roman" w:hAnsi="Times New Roman"/>
          <w:bCs/>
          <w:color w:val="000000" w:themeColor="text1"/>
          <w:sz w:val="22"/>
        </w:rPr>
        <w:t xml:space="preserve"> to restore mobility or conservative management to prevent complications. Conventional X-ray diagnosis can be challenging due to the complex anatomy of the proximal femur, overlapping structures, subtle fracture patterns, and potential for misleading or incomplete information</w:t>
      </w:r>
      <w:r w:rsidR="00CC1F61">
        <w:rPr>
          <w:rFonts w:ascii="Times New Roman" w:hAnsi="Times New Roman"/>
          <w:bCs/>
          <w:color w:val="000000" w:themeColor="text1"/>
          <w:sz w:val="22"/>
        </w:rPr>
        <w:t xml:space="preserve"> [4]</w:t>
      </w:r>
      <w:r>
        <w:rPr>
          <w:rFonts w:ascii="Times New Roman" w:hAnsi="Times New Roman"/>
          <w:bCs/>
          <w:color w:val="000000" w:themeColor="text1"/>
          <w:sz w:val="22"/>
        </w:rPr>
        <w:t>.</w:t>
      </w:r>
    </w:p>
    <w:p w14:paraId="234B6E97" w14:textId="6F068C54" w:rsidR="00704888" w:rsidRPr="00704888" w:rsidRDefault="00704888" w:rsidP="00704888">
      <w:pPr>
        <w:spacing w:line="360" w:lineRule="auto"/>
        <w:rPr>
          <w:rFonts w:ascii="Times New Roman" w:hAnsi="Times New Roman"/>
          <w:bCs/>
          <w:color w:val="000000" w:themeColor="text1"/>
          <w:sz w:val="22"/>
        </w:rPr>
      </w:pPr>
      <w:r w:rsidRPr="00704888">
        <w:rPr>
          <w:rFonts w:ascii="Times New Roman" w:hAnsi="Times New Roman"/>
          <w:bCs/>
          <w:color w:val="000000" w:themeColor="text1"/>
          <w:sz w:val="22"/>
          <w:szCs w:val="22"/>
        </w:rPr>
        <w:t>Intertrochanteric femoral fractures are medically significant because of their elevated mortality and morbidity rates among elderly patients due to the presence of other concomitant diseases like heart conditions and diabetes</w:t>
      </w:r>
      <w:r w:rsidR="00CC1F61">
        <w:rPr>
          <w:rFonts w:ascii="Times New Roman" w:hAnsi="Times New Roman"/>
          <w:bCs/>
          <w:color w:val="000000" w:themeColor="text1"/>
          <w:sz w:val="22"/>
          <w:szCs w:val="22"/>
        </w:rPr>
        <w:t xml:space="preserve"> [5]</w:t>
      </w:r>
      <w:r w:rsidRPr="00704888">
        <w:rPr>
          <w:rFonts w:ascii="Times New Roman" w:hAnsi="Times New Roman"/>
          <w:bCs/>
          <w:color w:val="000000" w:themeColor="text1"/>
          <w:sz w:val="22"/>
          <w:szCs w:val="22"/>
        </w:rPr>
        <w:t xml:space="preserve">. These fractures are linked with duration of immobilization, </w:t>
      </w:r>
      <w:r>
        <w:rPr>
          <w:rFonts w:ascii="Times New Roman" w:hAnsi="Times New Roman"/>
          <w:bCs/>
          <w:color w:val="000000" w:themeColor="text1"/>
          <w:sz w:val="22"/>
          <w:szCs w:val="22"/>
        </w:rPr>
        <w:t>development</w:t>
      </w:r>
      <w:r w:rsidRPr="00704888">
        <w:rPr>
          <w:rFonts w:ascii="Times New Roman" w:hAnsi="Times New Roman"/>
          <w:bCs/>
          <w:color w:val="000000" w:themeColor="text1"/>
          <w:sz w:val="22"/>
          <w:szCs w:val="22"/>
        </w:rPr>
        <w:t xml:space="preserve"> </w:t>
      </w:r>
      <w:r>
        <w:rPr>
          <w:rFonts w:ascii="Times New Roman" w:hAnsi="Times New Roman"/>
          <w:bCs/>
          <w:color w:val="000000" w:themeColor="text1"/>
          <w:sz w:val="22"/>
          <w:szCs w:val="22"/>
        </w:rPr>
        <w:lastRenderedPageBreak/>
        <w:t>of</w:t>
      </w:r>
      <w:r w:rsidRPr="00704888">
        <w:rPr>
          <w:rFonts w:ascii="Times New Roman" w:hAnsi="Times New Roman"/>
          <w:bCs/>
          <w:color w:val="000000" w:themeColor="text1"/>
          <w:sz w:val="22"/>
          <w:szCs w:val="22"/>
        </w:rPr>
        <w:t xml:space="preserve"> pressure ulcers, development of thromboembolism</w:t>
      </w:r>
      <w:r>
        <w:rPr>
          <w:rFonts w:ascii="Times New Roman" w:hAnsi="Times New Roman"/>
          <w:bCs/>
          <w:color w:val="000000" w:themeColor="text1"/>
          <w:sz w:val="22"/>
          <w:szCs w:val="22"/>
        </w:rPr>
        <w:t>,</w:t>
      </w:r>
      <w:r w:rsidRPr="00704888">
        <w:rPr>
          <w:rFonts w:ascii="Times New Roman" w:hAnsi="Times New Roman"/>
          <w:bCs/>
          <w:color w:val="000000" w:themeColor="text1"/>
          <w:sz w:val="22"/>
          <w:szCs w:val="22"/>
        </w:rPr>
        <w:t xml:space="preserve"> and </w:t>
      </w:r>
      <w:r>
        <w:rPr>
          <w:rFonts w:ascii="Times New Roman" w:hAnsi="Times New Roman"/>
          <w:bCs/>
          <w:color w:val="000000" w:themeColor="text1"/>
          <w:sz w:val="22"/>
          <w:szCs w:val="22"/>
        </w:rPr>
        <w:t xml:space="preserve">a </w:t>
      </w:r>
      <w:r w:rsidRPr="00704888">
        <w:rPr>
          <w:rFonts w:ascii="Times New Roman" w:hAnsi="Times New Roman"/>
          <w:bCs/>
          <w:color w:val="000000" w:themeColor="text1"/>
          <w:sz w:val="22"/>
          <w:szCs w:val="22"/>
        </w:rPr>
        <w:t>drastic drop in the quality of life</w:t>
      </w:r>
      <w:r>
        <w:rPr>
          <w:rFonts w:ascii="Times New Roman" w:hAnsi="Times New Roman"/>
          <w:bCs/>
          <w:color w:val="000000" w:themeColor="text1"/>
          <w:sz w:val="22"/>
          <w:szCs w:val="22"/>
        </w:rPr>
        <w:t>,</w:t>
      </w:r>
      <w:r w:rsidRPr="00704888">
        <w:rPr>
          <w:rFonts w:ascii="Times New Roman" w:hAnsi="Times New Roman"/>
          <w:bCs/>
          <w:color w:val="000000" w:themeColor="text1"/>
          <w:sz w:val="22"/>
          <w:szCs w:val="22"/>
        </w:rPr>
        <w:t xml:space="preserve"> with mortality rate reported up to 2030%</w:t>
      </w:r>
      <w:r w:rsidR="00CC1F61">
        <w:rPr>
          <w:rFonts w:ascii="Times New Roman" w:hAnsi="Times New Roman"/>
          <w:bCs/>
          <w:color w:val="000000" w:themeColor="text1"/>
          <w:sz w:val="22"/>
          <w:szCs w:val="22"/>
        </w:rPr>
        <w:t xml:space="preserve"> [5]</w:t>
      </w:r>
      <w:r w:rsidRPr="00704888">
        <w:rPr>
          <w:rFonts w:ascii="Times New Roman" w:hAnsi="Times New Roman"/>
          <w:bCs/>
          <w:color w:val="000000" w:themeColor="text1"/>
          <w:sz w:val="22"/>
          <w:szCs w:val="22"/>
        </w:rPr>
        <w:t xml:space="preserve"> in the initial year after the accident. The difficulties in the diagnosis of X-rays come at a clinical aspect, and it is caused by the variation in the displacement of fracture, position of the patient, and quality of the X-rays</w:t>
      </w:r>
      <w:r w:rsidR="00CC1F61">
        <w:rPr>
          <w:rFonts w:ascii="Times New Roman" w:hAnsi="Times New Roman"/>
          <w:bCs/>
          <w:color w:val="000000" w:themeColor="text1"/>
          <w:sz w:val="22"/>
          <w:szCs w:val="22"/>
        </w:rPr>
        <w:t xml:space="preserve"> [6]</w:t>
      </w:r>
      <w:r>
        <w:rPr>
          <w:rFonts w:ascii="Times New Roman" w:hAnsi="Times New Roman"/>
          <w:bCs/>
          <w:color w:val="000000" w:themeColor="text1"/>
          <w:sz w:val="22"/>
          <w:szCs w:val="22"/>
        </w:rPr>
        <w:t>,</w:t>
      </w:r>
      <w:r w:rsidRPr="00704888">
        <w:rPr>
          <w:rFonts w:ascii="Times New Roman" w:hAnsi="Times New Roman"/>
          <w:bCs/>
          <w:color w:val="000000" w:themeColor="text1"/>
          <w:sz w:val="22"/>
          <w:szCs w:val="22"/>
        </w:rPr>
        <w:t xml:space="preserve"> which may </w:t>
      </w:r>
      <w:r>
        <w:rPr>
          <w:rFonts w:ascii="Times New Roman" w:hAnsi="Times New Roman"/>
          <w:bCs/>
          <w:color w:val="000000" w:themeColor="text1"/>
          <w:sz w:val="22"/>
          <w:szCs w:val="22"/>
        </w:rPr>
        <w:t>obstruct</w:t>
      </w:r>
      <w:r w:rsidRPr="00704888">
        <w:rPr>
          <w:rFonts w:ascii="Times New Roman" w:hAnsi="Times New Roman"/>
          <w:bCs/>
          <w:color w:val="000000" w:themeColor="text1"/>
          <w:sz w:val="22"/>
          <w:szCs w:val="22"/>
        </w:rPr>
        <w:t xml:space="preserve"> the detection of the fracture lines. Deep learning and especially pretrained convolutional neural networks (CNNs) bring a potential solution to the problem of detecting fractures (fracture vs. non-fracture) due to the benefit of sophisticated feature extraction to find nuanced patterns in X-rays</w:t>
      </w:r>
      <w:r w:rsidR="00CC1F61">
        <w:rPr>
          <w:rFonts w:ascii="Times New Roman" w:hAnsi="Times New Roman"/>
          <w:bCs/>
          <w:color w:val="000000" w:themeColor="text1"/>
          <w:sz w:val="22"/>
          <w:szCs w:val="22"/>
        </w:rPr>
        <w:t xml:space="preserve"> [7]</w:t>
      </w:r>
      <w:r w:rsidRPr="00704888">
        <w:rPr>
          <w:rFonts w:ascii="Times New Roman" w:hAnsi="Times New Roman"/>
          <w:bCs/>
          <w:color w:val="000000" w:themeColor="text1"/>
          <w:sz w:val="22"/>
          <w:szCs w:val="22"/>
        </w:rPr>
        <w:t xml:space="preserve">. With the ability to make faster and more accurate diagnoses, deep learning has the potential to make interventions </w:t>
      </w:r>
      <w:r w:rsidRPr="00704888">
        <w:rPr>
          <w:rFonts w:ascii="Times New Roman" w:hAnsi="Times New Roman"/>
          <w:bCs/>
          <w:color w:val="000000" w:themeColor="text1"/>
          <w:sz w:val="22"/>
          <w:szCs w:val="22"/>
        </w:rPr>
        <w:t>timelier</w:t>
      </w:r>
      <w:r w:rsidRPr="00704888">
        <w:rPr>
          <w:rFonts w:ascii="Times New Roman" w:hAnsi="Times New Roman"/>
          <w:bCs/>
          <w:color w:val="000000" w:themeColor="text1"/>
          <w:sz w:val="22"/>
          <w:szCs w:val="22"/>
        </w:rPr>
        <w:t>, minimize diagnostic errors, and assist clinicians at high-stress moments, with the overall consequence of subsequent patient outcomes improving in a critical care environment.</w:t>
      </w:r>
    </w:p>
    <w:p w14:paraId="00C54FAB" w14:textId="28CCADEE" w:rsidR="00C35955" w:rsidRDefault="006D0B07" w:rsidP="00CC1F61">
      <w:pPr>
        <w:pStyle w:val="Heading5"/>
      </w:pPr>
      <w:r w:rsidRPr="003D352C">
        <w:t>Materials</w:t>
      </w:r>
      <w:r w:rsidRPr="006D0B07">
        <w:t xml:space="preserve"> and Method</w:t>
      </w:r>
      <w:r w:rsidR="00C35955">
        <w:t>s</w:t>
      </w:r>
    </w:p>
    <w:p w14:paraId="5F4F70E0" w14:textId="68D901F8" w:rsidR="00C35955" w:rsidRPr="00C314EB" w:rsidRDefault="00C35955" w:rsidP="00C35955">
      <w:pPr>
        <w:rPr>
          <w:rFonts w:ascii="Times New Roman" w:hAnsi="Times New Roman"/>
          <w:b/>
          <w:bCs/>
          <w:i/>
          <w:iCs/>
          <w:sz w:val="22"/>
          <w:szCs w:val="24"/>
        </w:rPr>
      </w:pPr>
      <w:r w:rsidRPr="00C314EB">
        <w:rPr>
          <w:rFonts w:ascii="Times New Roman" w:hAnsi="Times New Roman"/>
          <w:b/>
          <w:bCs/>
          <w:i/>
          <w:iCs/>
          <w:sz w:val="22"/>
          <w:szCs w:val="24"/>
        </w:rPr>
        <w:t>Dataset</w:t>
      </w:r>
    </w:p>
    <w:p w14:paraId="31879001" w14:textId="7ABB2686" w:rsidR="00C35955" w:rsidRDefault="00C35955" w:rsidP="006D0B07">
      <w:pPr>
        <w:spacing w:line="360" w:lineRule="auto"/>
        <w:rPr>
          <w:rFonts w:ascii="Times New Roman" w:hAnsi="Times New Roman"/>
          <w:sz w:val="22"/>
          <w:szCs w:val="22"/>
        </w:rPr>
      </w:pPr>
      <w:r w:rsidRPr="00C35955">
        <w:rPr>
          <w:rFonts w:ascii="Times New Roman" w:hAnsi="Times New Roman"/>
          <w:sz w:val="22"/>
          <w:szCs w:val="22"/>
        </w:rPr>
        <w:t xml:space="preserve">A dataset of anteroposterior X-ray images of the proximal femur of 1,000 patients recorded in a period between 2015 and 2020 in the </w:t>
      </w:r>
      <w:r>
        <w:rPr>
          <w:rFonts w:ascii="Times New Roman" w:hAnsi="Times New Roman"/>
          <w:sz w:val="22"/>
          <w:szCs w:val="22"/>
        </w:rPr>
        <w:t>images</w:t>
      </w:r>
      <w:r w:rsidRPr="00C35955">
        <w:rPr>
          <w:rFonts w:ascii="Times New Roman" w:hAnsi="Times New Roman"/>
          <w:sz w:val="22"/>
          <w:szCs w:val="22"/>
        </w:rPr>
        <w:t xml:space="preserve"> Archiving and Communication System (PACS) of the hospital was used in the study. The data set was homogeneous</w:t>
      </w:r>
      <w:r>
        <w:rPr>
          <w:rFonts w:ascii="Times New Roman" w:hAnsi="Times New Roman"/>
          <w:sz w:val="22"/>
          <w:szCs w:val="22"/>
        </w:rPr>
        <w:t>,</w:t>
      </w:r>
      <w:r w:rsidRPr="00C35955">
        <w:rPr>
          <w:rFonts w:ascii="Times New Roman" w:hAnsi="Times New Roman"/>
          <w:sz w:val="22"/>
          <w:szCs w:val="22"/>
        </w:rPr>
        <w:t xml:space="preserve"> including 500 images of confirmed cases of intertrochanteric fractures of the femur and 500 pictures of non-fractures, which were confirmed by professional radiologists. Demographic characteristics of patients were heterogeneous (aged between 60 and 90 years, 60</w:t>
      </w:r>
      <w:r>
        <w:rPr>
          <w:rFonts w:ascii="Times New Roman" w:hAnsi="Times New Roman"/>
          <w:sz w:val="22"/>
          <w:szCs w:val="22"/>
        </w:rPr>
        <w:t xml:space="preserve">% </w:t>
      </w:r>
      <w:r w:rsidRPr="00C35955">
        <w:rPr>
          <w:rFonts w:ascii="Times New Roman" w:hAnsi="Times New Roman"/>
          <w:sz w:val="22"/>
          <w:szCs w:val="22"/>
        </w:rPr>
        <w:t>were female, 40</w:t>
      </w:r>
      <w:r>
        <w:rPr>
          <w:rFonts w:ascii="Times New Roman" w:hAnsi="Times New Roman"/>
          <w:sz w:val="22"/>
          <w:szCs w:val="22"/>
        </w:rPr>
        <w:t xml:space="preserve">% </w:t>
      </w:r>
      <w:r w:rsidRPr="00C35955">
        <w:rPr>
          <w:rFonts w:ascii="Times New Roman" w:hAnsi="Times New Roman"/>
          <w:sz w:val="22"/>
          <w:szCs w:val="22"/>
        </w:rPr>
        <w:t xml:space="preserve">were male) since they were representative of the patients who come seeking treatment in elderly populations after suffering osteoporotic fractures. The dataset was partitioned into 70% training (700 images), 15% validation (150 images), and 15% test (150 images) sets that would allow </w:t>
      </w:r>
      <w:r>
        <w:rPr>
          <w:rFonts w:ascii="Times New Roman" w:hAnsi="Times New Roman"/>
          <w:sz w:val="22"/>
          <w:szCs w:val="22"/>
        </w:rPr>
        <w:t xml:space="preserve">for </w:t>
      </w:r>
      <w:r w:rsidRPr="00C35955">
        <w:rPr>
          <w:rFonts w:ascii="Times New Roman" w:hAnsi="Times New Roman"/>
          <w:sz w:val="22"/>
          <w:szCs w:val="22"/>
        </w:rPr>
        <w:t xml:space="preserve">producing a robust model and </w:t>
      </w:r>
      <w:r>
        <w:rPr>
          <w:rFonts w:ascii="Times New Roman" w:hAnsi="Times New Roman"/>
          <w:sz w:val="22"/>
          <w:szCs w:val="22"/>
        </w:rPr>
        <w:t>assessing</w:t>
      </w:r>
      <w:r w:rsidRPr="00C35955">
        <w:rPr>
          <w:rFonts w:ascii="Times New Roman" w:hAnsi="Times New Roman"/>
          <w:sz w:val="22"/>
          <w:szCs w:val="22"/>
        </w:rPr>
        <w:t xml:space="preserve"> it.</w:t>
      </w:r>
      <w:r w:rsidR="006D0B07" w:rsidRPr="006D0B07">
        <w:rPr>
          <w:rFonts w:ascii="Times New Roman" w:hAnsi="Times New Roman"/>
          <w:sz w:val="22"/>
          <w:szCs w:val="22"/>
        </w:rPr>
        <w:t xml:space="preserve"> </w:t>
      </w:r>
    </w:p>
    <w:p w14:paraId="4368A544" w14:textId="002AD5E2" w:rsidR="00C35955" w:rsidRPr="00C314EB" w:rsidRDefault="00C35955" w:rsidP="006D0B07">
      <w:pPr>
        <w:spacing w:line="360" w:lineRule="auto"/>
        <w:rPr>
          <w:rFonts w:ascii="Times New Roman" w:hAnsi="Times New Roman"/>
          <w:b/>
          <w:bCs/>
          <w:i/>
          <w:iCs/>
          <w:sz w:val="22"/>
          <w:szCs w:val="22"/>
        </w:rPr>
      </w:pPr>
      <w:r w:rsidRPr="00C314EB">
        <w:rPr>
          <w:rFonts w:ascii="Times New Roman" w:hAnsi="Times New Roman"/>
          <w:b/>
          <w:bCs/>
          <w:i/>
          <w:iCs/>
          <w:sz w:val="22"/>
          <w:szCs w:val="22"/>
        </w:rPr>
        <w:t>Deep Learning Models</w:t>
      </w:r>
    </w:p>
    <w:p w14:paraId="4E3D861C" w14:textId="320FF23C" w:rsidR="00C35955" w:rsidRPr="00C35955" w:rsidRDefault="00C35955" w:rsidP="006D0B07">
      <w:pPr>
        <w:spacing w:line="360" w:lineRule="auto"/>
        <w:rPr>
          <w:rFonts w:ascii="Times New Roman" w:hAnsi="Times New Roman"/>
          <w:sz w:val="22"/>
          <w:szCs w:val="22"/>
        </w:rPr>
      </w:pPr>
      <w:r w:rsidRPr="00C35955">
        <w:rPr>
          <w:rFonts w:ascii="Times New Roman" w:hAnsi="Times New Roman"/>
          <w:sz w:val="22"/>
          <w:szCs w:val="22"/>
        </w:rPr>
        <w:t xml:space="preserve">Four binary classifications (fracture vs. non-fracture) convolutional neural network (CNN) architectures were used: ResNet50, ResNet101, InceptionV3, and a custom CNN. ResNet50 and ResNet101 are known to have a deep residual learning framework and thus provide skip connections to overcome vanishing gradient problems so that they can extract the </w:t>
      </w:r>
      <w:r w:rsidRPr="00C35955">
        <w:rPr>
          <w:rFonts w:ascii="Times New Roman" w:hAnsi="Times New Roman"/>
          <w:sz w:val="22"/>
          <w:szCs w:val="22"/>
        </w:rPr>
        <w:t>much-needed</w:t>
      </w:r>
      <w:r w:rsidRPr="00C35955">
        <w:rPr>
          <w:rFonts w:ascii="Times New Roman" w:hAnsi="Times New Roman"/>
          <w:sz w:val="22"/>
          <w:szCs w:val="22"/>
        </w:rPr>
        <w:t xml:space="preserve"> features of complex X-ray images. Whereas InceptionV3 makes use of multi-scale convolution to preserve a variety of fracture patterns, the user-defined CNN employs three convolutional layers (32, 64, and 128 filter input), max-pooling</w:t>
      </w:r>
      <w:r>
        <w:rPr>
          <w:rFonts w:ascii="Times New Roman" w:hAnsi="Times New Roman"/>
          <w:sz w:val="22"/>
          <w:szCs w:val="22"/>
        </w:rPr>
        <w:t>,</w:t>
      </w:r>
      <w:r w:rsidRPr="00C35955">
        <w:rPr>
          <w:rFonts w:ascii="Times New Roman" w:hAnsi="Times New Roman"/>
          <w:sz w:val="22"/>
          <w:szCs w:val="22"/>
        </w:rPr>
        <w:t xml:space="preserve"> and dense layers, and has been designed as </w:t>
      </w:r>
      <w:r>
        <w:rPr>
          <w:rFonts w:ascii="Times New Roman" w:hAnsi="Times New Roman"/>
          <w:sz w:val="22"/>
          <w:szCs w:val="22"/>
        </w:rPr>
        <w:t xml:space="preserve">a </w:t>
      </w:r>
      <w:r w:rsidRPr="00C35955">
        <w:rPr>
          <w:rFonts w:ascii="Times New Roman" w:hAnsi="Times New Roman"/>
          <w:sz w:val="22"/>
          <w:szCs w:val="22"/>
        </w:rPr>
        <w:t>computationally efficient clinical practice. Each model was also trained on ImageNet to initialize the weights to improve feature detection. Clinical variability</w:t>
      </w:r>
      <w:r>
        <w:rPr>
          <w:rFonts w:ascii="Times New Roman" w:hAnsi="Times New Roman"/>
          <w:sz w:val="22"/>
          <w:szCs w:val="22"/>
        </w:rPr>
        <w:t>,</w:t>
      </w:r>
      <w:r w:rsidRPr="00C35955">
        <w:rPr>
          <w:rFonts w:ascii="Times New Roman" w:hAnsi="Times New Roman"/>
          <w:sz w:val="22"/>
          <w:szCs w:val="22"/>
        </w:rPr>
        <w:t xml:space="preserve"> including noise and differences in anatomy</w:t>
      </w:r>
      <w:r>
        <w:rPr>
          <w:rFonts w:ascii="Times New Roman" w:hAnsi="Times New Roman"/>
          <w:sz w:val="22"/>
          <w:szCs w:val="22"/>
        </w:rPr>
        <w:t>,</w:t>
      </w:r>
      <w:r w:rsidRPr="00C35955">
        <w:rPr>
          <w:rFonts w:ascii="Times New Roman" w:hAnsi="Times New Roman"/>
          <w:sz w:val="22"/>
          <w:szCs w:val="22"/>
        </w:rPr>
        <w:t xml:space="preserve"> was overcome through resizing to 224x224 pixels, normalization of pixel intensity (0-1)</w:t>
      </w:r>
      <w:r>
        <w:rPr>
          <w:rFonts w:ascii="Times New Roman" w:hAnsi="Times New Roman"/>
          <w:sz w:val="22"/>
          <w:szCs w:val="22"/>
        </w:rPr>
        <w:t>,</w:t>
      </w:r>
      <w:r w:rsidRPr="00C35955">
        <w:rPr>
          <w:rFonts w:ascii="Times New Roman" w:hAnsi="Times New Roman"/>
          <w:sz w:val="22"/>
          <w:szCs w:val="22"/>
        </w:rPr>
        <w:t xml:space="preserve"> and techniques that augmented the input images by randomly rotating them (</w:t>
      </w:r>
      <w:r>
        <w:rPr>
          <w:rFonts w:ascii="Times New Roman" w:hAnsi="Times New Roman"/>
          <w:sz w:val="22"/>
          <w:szCs w:val="22"/>
        </w:rPr>
        <w:t>angling 15 degrees</w:t>
      </w:r>
      <w:r w:rsidRPr="00C35955">
        <w:rPr>
          <w:rFonts w:ascii="Times New Roman" w:hAnsi="Times New Roman"/>
          <w:sz w:val="22"/>
          <w:szCs w:val="22"/>
        </w:rPr>
        <w:t>); randomly flipping horizontally</w:t>
      </w:r>
      <w:r>
        <w:rPr>
          <w:rFonts w:ascii="Times New Roman" w:hAnsi="Times New Roman"/>
          <w:sz w:val="22"/>
          <w:szCs w:val="22"/>
        </w:rPr>
        <w:t>,</w:t>
      </w:r>
      <w:r w:rsidRPr="00C35955">
        <w:rPr>
          <w:rFonts w:ascii="Times New Roman" w:hAnsi="Times New Roman"/>
          <w:sz w:val="22"/>
          <w:szCs w:val="22"/>
        </w:rPr>
        <w:t xml:space="preserve"> and changing the image brightness (</w:t>
      </w:r>
      <w:r w:rsidRPr="00C35955">
        <w:rPr>
          <w:rFonts w:ascii="Times New Roman" w:hAnsi="Times New Roman"/>
          <w:sz w:val="22"/>
          <w:szCs w:val="22"/>
        </w:rPr>
        <w:t>angling</w:t>
      </w:r>
      <w:r w:rsidRPr="00C35955">
        <w:rPr>
          <w:rFonts w:ascii="Times New Roman" w:hAnsi="Times New Roman"/>
          <w:sz w:val="22"/>
          <w:szCs w:val="22"/>
        </w:rPr>
        <w:t xml:space="preserve"> 20 degrees).</w:t>
      </w:r>
    </w:p>
    <w:p w14:paraId="118C60EA" w14:textId="38AC01E5" w:rsidR="00C35955" w:rsidRPr="00C314EB" w:rsidRDefault="00C35955" w:rsidP="006D0B07">
      <w:pPr>
        <w:spacing w:line="360" w:lineRule="auto"/>
        <w:rPr>
          <w:rFonts w:ascii="Times New Roman" w:hAnsi="Times New Roman"/>
          <w:b/>
          <w:bCs/>
          <w:i/>
          <w:iCs/>
          <w:sz w:val="22"/>
          <w:szCs w:val="22"/>
        </w:rPr>
      </w:pPr>
      <w:r w:rsidRPr="00C314EB">
        <w:rPr>
          <w:rFonts w:ascii="Times New Roman" w:hAnsi="Times New Roman"/>
          <w:b/>
          <w:bCs/>
          <w:i/>
          <w:iCs/>
          <w:sz w:val="22"/>
          <w:szCs w:val="22"/>
        </w:rPr>
        <w:t>Training and Evaluation</w:t>
      </w:r>
    </w:p>
    <w:p w14:paraId="5FD8FC45" w14:textId="6262A0D3" w:rsidR="00C35955" w:rsidRPr="00D61673" w:rsidRDefault="00C35955" w:rsidP="006D0B07">
      <w:pPr>
        <w:spacing w:line="360" w:lineRule="auto"/>
        <w:rPr>
          <w:rFonts w:ascii="Times New Roman" w:hAnsi="Times New Roman"/>
          <w:sz w:val="22"/>
          <w:szCs w:val="22"/>
        </w:rPr>
      </w:pPr>
      <w:r w:rsidRPr="00C35955">
        <w:rPr>
          <w:rFonts w:ascii="Times New Roman" w:hAnsi="Times New Roman"/>
          <w:sz w:val="22"/>
          <w:szCs w:val="22"/>
        </w:rPr>
        <w:t xml:space="preserve">The models were fine-tuned using </w:t>
      </w:r>
      <w:r>
        <w:rPr>
          <w:rFonts w:ascii="Times New Roman" w:hAnsi="Times New Roman"/>
          <w:sz w:val="22"/>
          <w:szCs w:val="22"/>
        </w:rPr>
        <w:t>deep</w:t>
      </w:r>
      <w:r w:rsidRPr="00C35955">
        <w:rPr>
          <w:rFonts w:ascii="Times New Roman" w:hAnsi="Times New Roman"/>
          <w:sz w:val="22"/>
          <w:szCs w:val="22"/>
        </w:rPr>
        <w:t xml:space="preserve"> learning, with the top layers of </w:t>
      </w:r>
      <w:r>
        <w:rPr>
          <w:rFonts w:ascii="Times New Roman" w:hAnsi="Times New Roman"/>
          <w:sz w:val="22"/>
          <w:szCs w:val="22"/>
        </w:rPr>
        <w:t xml:space="preserve">DL </w:t>
      </w:r>
      <w:r w:rsidRPr="00C35955">
        <w:rPr>
          <w:rFonts w:ascii="Times New Roman" w:hAnsi="Times New Roman"/>
          <w:sz w:val="22"/>
          <w:szCs w:val="22"/>
        </w:rPr>
        <w:t xml:space="preserve">models unfrozen to adapt to the specific task of intertrochanteric femoral fracture detection. Training was conducted using a binary </w:t>
      </w:r>
      <w:r w:rsidRPr="00C35955">
        <w:rPr>
          <w:rFonts w:ascii="Times New Roman" w:hAnsi="Times New Roman"/>
          <w:sz w:val="22"/>
          <w:szCs w:val="22"/>
        </w:rPr>
        <w:lastRenderedPageBreak/>
        <w:t xml:space="preserve">cross-entropy loss function and the Adam optimizer (learning rate: 1e-4) over </w:t>
      </w:r>
      <w:r>
        <w:rPr>
          <w:rFonts w:ascii="Times New Roman" w:hAnsi="Times New Roman"/>
          <w:sz w:val="22"/>
          <w:szCs w:val="22"/>
        </w:rPr>
        <w:t>1</w:t>
      </w:r>
      <w:r w:rsidRPr="00C35955">
        <w:rPr>
          <w:rFonts w:ascii="Times New Roman" w:hAnsi="Times New Roman"/>
          <w:sz w:val="22"/>
          <w:szCs w:val="22"/>
        </w:rPr>
        <w:t>0 epochs, with early stopping based on validation loss to prevent overfitting. Batch size was set to 32 to balance computational efficiency and gradient stability. Performance was evaluated on the test set using metrics including accuracy, precision, sensitivity, and F1-score. Confidence intervals were computed to assess result reliability, and statistical significance was determined using paired t-tests (p &lt; 0.05). Training was performed on a GPU-enabled system (NVIDIA RTX 3080) to handle computational demands, with training times recorded for each model to evaluate clinical applicability.</w:t>
      </w:r>
      <w:r w:rsidR="006E3557">
        <w:rPr>
          <w:rFonts w:ascii="Times New Roman" w:hAnsi="Times New Roman"/>
          <w:sz w:val="22"/>
          <w:szCs w:val="22"/>
        </w:rPr>
        <w:t xml:space="preserve"> </w:t>
      </w:r>
    </w:p>
    <w:p w14:paraId="7607EABF" w14:textId="405DC2BE" w:rsidR="006D0B07" w:rsidRDefault="006D0B07" w:rsidP="003D352C">
      <w:pPr>
        <w:pStyle w:val="Heading5"/>
      </w:pPr>
      <w:r>
        <w:t>Results and Discussion</w:t>
      </w:r>
    </w:p>
    <w:p w14:paraId="5622220B" w14:textId="77777777" w:rsidR="00D77DCA" w:rsidRDefault="00D77DCA" w:rsidP="00D77DCA"/>
    <w:p w14:paraId="4030DEA3" w14:textId="77777777" w:rsidR="00CC1F61" w:rsidRDefault="00D77DCA" w:rsidP="00CC1F61">
      <w:pPr>
        <w:spacing w:line="360" w:lineRule="auto"/>
        <w:rPr>
          <w:rFonts w:ascii="Times New Roman" w:hAnsi="Times New Roman"/>
          <w:color w:val="000000" w:themeColor="text1"/>
          <w:sz w:val="22"/>
          <w:szCs w:val="24"/>
        </w:rPr>
      </w:pPr>
      <w:r w:rsidRPr="00D77DCA">
        <w:rPr>
          <w:rFonts w:ascii="Times New Roman" w:hAnsi="Times New Roman"/>
          <w:color w:val="000000" w:themeColor="text1"/>
          <w:sz w:val="22"/>
          <w:szCs w:val="24"/>
        </w:rPr>
        <w:t>ResNet101 turned out to be the most efficient of all the models used</w:t>
      </w:r>
      <w:r>
        <w:rPr>
          <w:rFonts w:ascii="Times New Roman" w:hAnsi="Times New Roman"/>
          <w:color w:val="000000" w:themeColor="text1"/>
          <w:sz w:val="22"/>
          <w:szCs w:val="24"/>
        </w:rPr>
        <w:t>,</w:t>
      </w:r>
      <w:r w:rsidRPr="00D77DCA">
        <w:rPr>
          <w:rFonts w:ascii="Times New Roman" w:hAnsi="Times New Roman"/>
          <w:color w:val="000000" w:themeColor="text1"/>
          <w:sz w:val="22"/>
          <w:szCs w:val="24"/>
        </w:rPr>
        <w:t xml:space="preserve"> and it has shown the highest testing accuracy (80.00%) and good precision (0.8179), recall (0.8000)</w:t>
      </w:r>
      <w:r>
        <w:rPr>
          <w:rFonts w:ascii="Times New Roman" w:hAnsi="Times New Roman"/>
          <w:color w:val="000000" w:themeColor="text1"/>
          <w:sz w:val="22"/>
          <w:szCs w:val="24"/>
        </w:rPr>
        <w:t>,</w:t>
      </w:r>
      <w:r w:rsidRPr="00D77DCA">
        <w:rPr>
          <w:rFonts w:ascii="Times New Roman" w:hAnsi="Times New Roman"/>
          <w:color w:val="000000" w:themeColor="text1"/>
          <w:sz w:val="22"/>
          <w:szCs w:val="24"/>
        </w:rPr>
        <w:t xml:space="preserve"> and F1-score (0.7690)</w:t>
      </w:r>
      <w:r w:rsidR="003F29F4">
        <w:rPr>
          <w:rFonts w:ascii="Times New Roman" w:hAnsi="Times New Roman"/>
          <w:color w:val="000000" w:themeColor="text1"/>
          <w:sz w:val="22"/>
          <w:szCs w:val="24"/>
        </w:rPr>
        <w:t xml:space="preserve"> (Table 1)</w:t>
      </w:r>
      <w:r w:rsidRPr="00D77DCA">
        <w:rPr>
          <w:rFonts w:ascii="Times New Roman" w:hAnsi="Times New Roman"/>
          <w:color w:val="000000" w:themeColor="text1"/>
          <w:sz w:val="22"/>
          <w:szCs w:val="24"/>
        </w:rPr>
        <w:t xml:space="preserve">. It also displayed the largest mean confidence in its statistical summary to detect a fracture (mean: 0.8758) </w:t>
      </w:r>
      <w:r>
        <w:rPr>
          <w:rFonts w:ascii="Times New Roman" w:hAnsi="Times New Roman"/>
          <w:color w:val="000000" w:themeColor="text1"/>
          <w:sz w:val="22"/>
          <w:szCs w:val="24"/>
        </w:rPr>
        <w:t>which</w:t>
      </w:r>
      <w:r w:rsidRPr="00D77DCA">
        <w:rPr>
          <w:rFonts w:ascii="Times New Roman" w:hAnsi="Times New Roman"/>
          <w:color w:val="000000" w:themeColor="text1"/>
          <w:sz w:val="22"/>
          <w:szCs w:val="24"/>
        </w:rPr>
        <w:t xml:space="preserve"> depicts that there were good and consistent predictions. ResNet50 came close behind, achieving a testing accuracy of 77.86</w:t>
      </w:r>
      <w:r w:rsidR="003F29F4">
        <w:rPr>
          <w:rFonts w:ascii="Times New Roman" w:hAnsi="Times New Roman"/>
          <w:color w:val="000000" w:themeColor="text1"/>
          <w:sz w:val="22"/>
          <w:szCs w:val="24"/>
        </w:rPr>
        <w:t xml:space="preserve"> %</w:t>
      </w:r>
      <w:r w:rsidRPr="00D77DCA">
        <w:rPr>
          <w:rFonts w:ascii="Times New Roman" w:hAnsi="Times New Roman"/>
          <w:color w:val="000000" w:themeColor="text1"/>
          <w:sz w:val="22"/>
          <w:szCs w:val="24"/>
        </w:rPr>
        <w:t xml:space="preserve"> and maintaining strong statistics regarding </w:t>
      </w:r>
      <w:r w:rsidRPr="00D77DCA">
        <w:rPr>
          <w:rFonts w:ascii="Times New Roman" w:hAnsi="Times New Roman"/>
          <w:color w:val="000000" w:themeColor="text1"/>
          <w:sz w:val="22"/>
          <w:szCs w:val="24"/>
        </w:rPr>
        <w:t>back testing</w:t>
      </w:r>
      <w:r w:rsidRPr="00D77DCA">
        <w:rPr>
          <w:rFonts w:ascii="Times New Roman" w:hAnsi="Times New Roman"/>
          <w:color w:val="000000" w:themeColor="text1"/>
          <w:sz w:val="22"/>
          <w:szCs w:val="24"/>
        </w:rPr>
        <w:t xml:space="preserve"> key factors (F1-score: 0.7364) backed by </w:t>
      </w:r>
      <w:r>
        <w:rPr>
          <w:rFonts w:ascii="Times New Roman" w:hAnsi="Times New Roman"/>
          <w:color w:val="000000" w:themeColor="text1"/>
          <w:sz w:val="22"/>
          <w:szCs w:val="24"/>
        </w:rPr>
        <w:t xml:space="preserve">a </w:t>
      </w:r>
      <w:r w:rsidRPr="00D77DCA">
        <w:rPr>
          <w:rFonts w:ascii="Times New Roman" w:hAnsi="Times New Roman"/>
          <w:color w:val="000000" w:themeColor="text1"/>
          <w:sz w:val="22"/>
          <w:szCs w:val="24"/>
        </w:rPr>
        <w:t>high statistical mean confidence of around 0.8474. InceptionV3 and CNN were at a moderate level with less accuracy in the testing (68.57</w:t>
      </w:r>
      <w:r>
        <w:rPr>
          <w:rFonts w:ascii="Times New Roman" w:hAnsi="Times New Roman"/>
          <w:color w:val="000000" w:themeColor="text1"/>
          <w:sz w:val="22"/>
          <w:szCs w:val="24"/>
        </w:rPr>
        <w:t xml:space="preserve">% </w:t>
      </w:r>
      <w:r w:rsidRPr="00D77DCA">
        <w:rPr>
          <w:rFonts w:ascii="Times New Roman" w:hAnsi="Times New Roman"/>
          <w:color w:val="000000" w:themeColor="text1"/>
          <w:sz w:val="22"/>
          <w:szCs w:val="24"/>
        </w:rPr>
        <w:t xml:space="preserve">and 66.43 </w:t>
      </w:r>
      <w:r>
        <w:rPr>
          <w:rFonts w:ascii="Times New Roman" w:hAnsi="Times New Roman"/>
          <w:color w:val="000000" w:themeColor="text1"/>
          <w:sz w:val="22"/>
          <w:szCs w:val="24"/>
        </w:rPr>
        <w:t xml:space="preserve">% </w:t>
      </w:r>
      <w:r w:rsidRPr="00D77DCA">
        <w:rPr>
          <w:rFonts w:ascii="Times New Roman" w:hAnsi="Times New Roman"/>
          <w:color w:val="000000" w:themeColor="text1"/>
          <w:sz w:val="22"/>
          <w:szCs w:val="24"/>
        </w:rPr>
        <w:t>respectively</w:t>
      </w:r>
      <w:r w:rsidRPr="00D77DCA">
        <w:rPr>
          <w:rFonts w:ascii="Times New Roman" w:hAnsi="Times New Roman"/>
          <w:color w:val="000000" w:themeColor="text1"/>
          <w:sz w:val="22"/>
          <w:szCs w:val="24"/>
        </w:rPr>
        <w:t xml:space="preserve">) and lower precision and F1-scores, indicative of reduced reliability. As far as the training times are concerned, it took the ResNet101 the longest (1817.57s), ResNet50 and CNN </w:t>
      </w:r>
      <w:r>
        <w:rPr>
          <w:rFonts w:ascii="Times New Roman" w:hAnsi="Times New Roman"/>
          <w:color w:val="000000" w:themeColor="text1"/>
          <w:sz w:val="22"/>
          <w:szCs w:val="24"/>
        </w:rPr>
        <w:t>were</w:t>
      </w:r>
      <w:r w:rsidRPr="00D77DCA">
        <w:rPr>
          <w:rFonts w:ascii="Times New Roman" w:hAnsi="Times New Roman"/>
          <w:color w:val="000000" w:themeColor="text1"/>
          <w:sz w:val="22"/>
          <w:szCs w:val="24"/>
        </w:rPr>
        <w:t xml:space="preserve"> the fastest to train</w:t>
      </w:r>
      <w:r>
        <w:rPr>
          <w:rFonts w:ascii="Times New Roman" w:hAnsi="Times New Roman"/>
          <w:color w:val="000000" w:themeColor="text1"/>
          <w:sz w:val="22"/>
          <w:szCs w:val="24"/>
        </w:rPr>
        <w:t>,</w:t>
      </w:r>
      <w:r w:rsidRPr="00D77DCA">
        <w:rPr>
          <w:rFonts w:ascii="Times New Roman" w:hAnsi="Times New Roman"/>
          <w:color w:val="000000" w:themeColor="text1"/>
          <w:sz w:val="22"/>
          <w:szCs w:val="24"/>
        </w:rPr>
        <w:t xml:space="preserve"> and gave the worst performance. On balance, the best overall model seems to be ResNet101 since the number of layers is large but the model is reliable in terms of its goal. </w:t>
      </w:r>
    </w:p>
    <w:p w14:paraId="2D30E4FE" w14:textId="3DBF8CBE" w:rsidR="00CC1F61" w:rsidRPr="00CC1F61" w:rsidRDefault="00CC1F61" w:rsidP="00CC1F61">
      <w:pPr>
        <w:pStyle w:val="Caption"/>
        <w:keepNext/>
        <w:jc w:val="center"/>
        <w:rPr>
          <w:rFonts w:ascii="Times New Roman" w:hAnsi="Times New Roman"/>
          <w:i w:val="0"/>
          <w:iCs w:val="0"/>
          <w:color w:val="000000" w:themeColor="text1"/>
          <w:sz w:val="20"/>
          <w:szCs w:val="20"/>
        </w:rPr>
      </w:pPr>
      <w:r w:rsidRPr="00CC1F61">
        <w:rPr>
          <w:rFonts w:ascii="Times New Roman" w:hAnsi="Times New Roman"/>
          <w:b/>
          <w:bCs/>
          <w:i w:val="0"/>
          <w:iCs w:val="0"/>
          <w:color w:val="000000" w:themeColor="text1"/>
          <w:sz w:val="20"/>
          <w:szCs w:val="20"/>
        </w:rPr>
        <w:t xml:space="preserve">Table </w:t>
      </w:r>
      <w:r w:rsidRPr="00CC1F61">
        <w:rPr>
          <w:rFonts w:ascii="Times New Roman" w:hAnsi="Times New Roman"/>
          <w:b/>
          <w:bCs/>
          <w:i w:val="0"/>
          <w:iCs w:val="0"/>
          <w:color w:val="000000" w:themeColor="text1"/>
          <w:sz w:val="20"/>
          <w:szCs w:val="20"/>
        </w:rPr>
        <w:fldChar w:fldCharType="begin"/>
      </w:r>
      <w:r w:rsidRPr="00CC1F61">
        <w:rPr>
          <w:rFonts w:ascii="Times New Roman" w:hAnsi="Times New Roman"/>
          <w:b/>
          <w:bCs/>
          <w:i w:val="0"/>
          <w:iCs w:val="0"/>
          <w:color w:val="000000" w:themeColor="text1"/>
          <w:sz w:val="20"/>
          <w:szCs w:val="20"/>
        </w:rPr>
        <w:instrText xml:space="preserve"> SEQ Table \* ARABIC </w:instrText>
      </w:r>
      <w:r w:rsidRPr="00CC1F61">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1</w:t>
      </w:r>
      <w:r w:rsidRPr="00CC1F61">
        <w:rPr>
          <w:rFonts w:ascii="Times New Roman" w:hAnsi="Times New Roman"/>
          <w:b/>
          <w:bCs/>
          <w:i w:val="0"/>
          <w:iCs w:val="0"/>
          <w:color w:val="000000" w:themeColor="text1"/>
          <w:sz w:val="20"/>
          <w:szCs w:val="20"/>
        </w:rPr>
        <w:fldChar w:fldCharType="end"/>
      </w:r>
      <w:r w:rsidRPr="00CC1F61">
        <w:rPr>
          <w:rFonts w:ascii="Times New Roman" w:hAnsi="Times New Roman"/>
          <w:b/>
          <w:bCs/>
          <w:i w:val="0"/>
          <w:iCs w:val="0"/>
          <w:color w:val="000000" w:themeColor="text1"/>
          <w:sz w:val="20"/>
          <w:szCs w:val="20"/>
        </w:rPr>
        <w:t xml:space="preserve">. </w:t>
      </w:r>
      <w:r w:rsidRPr="00CC1F61">
        <w:rPr>
          <w:rFonts w:ascii="Times New Roman" w:hAnsi="Times New Roman"/>
          <w:i w:val="0"/>
          <w:iCs w:val="0"/>
          <w:color w:val="000000" w:themeColor="text1"/>
          <w:sz w:val="20"/>
          <w:szCs w:val="20"/>
        </w:rPr>
        <w:t>Model Evaluation of Intertrochanteric Femoral Fractures</w:t>
      </w:r>
    </w:p>
    <w:tbl>
      <w:tblPr>
        <w:tblStyle w:val="TableGrid"/>
        <w:tblpPr w:leftFromText="180" w:rightFromText="180" w:vertAnchor="text" w:horzAnchor="margin" w:tblpY="234"/>
        <w:tblW w:w="0" w:type="auto"/>
        <w:tblLook w:val="04A0" w:firstRow="1" w:lastRow="0" w:firstColumn="1" w:lastColumn="0" w:noHBand="0" w:noVBand="1"/>
      </w:tblPr>
      <w:tblGrid>
        <w:gridCol w:w="1688"/>
        <w:gridCol w:w="1084"/>
        <w:gridCol w:w="1187"/>
        <w:gridCol w:w="1070"/>
        <w:gridCol w:w="1103"/>
        <w:gridCol w:w="1080"/>
        <w:gridCol w:w="854"/>
        <w:gridCol w:w="951"/>
      </w:tblGrid>
      <w:tr w:rsidR="00CC1F61" w:rsidRPr="00CC1F61" w14:paraId="15E0A3EB" w14:textId="77777777" w:rsidTr="00CC1F61">
        <w:tc>
          <w:tcPr>
            <w:tcW w:w="1688" w:type="dxa"/>
            <w:vAlign w:val="center"/>
          </w:tcPr>
          <w:p w14:paraId="2F24447A"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Model</w:t>
            </w:r>
          </w:p>
        </w:tc>
        <w:tc>
          <w:tcPr>
            <w:tcW w:w="1084" w:type="dxa"/>
            <w:vAlign w:val="center"/>
          </w:tcPr>
          <w:p w14:paraId="1D63C18E"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Training accuracy</w:t>
            </w:r>
          </w:p>
        </w:tc>
        <w:tc>
          <w:tcPr>
            <w:tcW w:w="1187" w:type="dxa"/>
            <w:vAlign w:val="center"/>
          </w:tcPr>
          <w:p w14:paraId="17053822"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Validation accuracy</w:t>
            </w:r>
          </w:p>
        </w:tc>
        <w:tc>
          <w:tcPr>
            <w:tcW w:w="1070" w:type="dxa"/>
            <w:vAlign w:val="center"/>
          </w:tcPr>
          <w:p w14:paraId="3E473822"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Testing accuracy</w:t>
            </w:r>
          </w:p>
        </w:tc>
        <w:tc>
          <w:tcPr>
            <w:tcW w:w="1103" w:type="dxa"/>
            <w:vAlign w:val="center"/>
          </w:tcPr>
          <w:p w14:paraId="4D414AA4"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Training time (s)</w:t>
            </w:r>
          </w:p>
        </w:tc>
        <w:tc>
          <w:tcPr>
            <w:tcW w:w="1080" w:type="dxa"/>
            <w:vAlign w:val="center"/>
          </w:tcPr>
          <w:p w14:paraId="5CD94AB2"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Precision</w:t>
            </w:r>
          </w:p>
        </w:tc>
        <w:tc>
          <w:tcPr>
            <w:tcW w:w="854" w:type="dxa"/>
            <w:vAlign w:val="center"/>
          </w:tcPr>
          <w:p w14:paraId="171375B1"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Recall</w:t>
            </w:r>
          </w:p>
        </w:tc>
        <w:tc>
          <w:tcPr>
            <w:tcW w:w="951" w:type="dxa"/>
            <w:vAlign w:val="center"/>
          </w:tcPr>
          <w:p w14:paraId="6096D7C6" w14:textId="77777777" w:rsidR="00CC1F61" w:rsidRPr="00CC1F61" w:rsidRDefault="00CC1F61" w:rsidP="00CC1F61">
            <w:pPr>
              <w:spacing w:line="360" w:lineRule="auto"/>
              <w:jc w:val="center"/>
              <w:rPr>
                <w:rFonts w:ascii="Times New Roman" w:hAnsi="Times New Roman"/>
                <w:b/>
                <w:bCs/>
                <w:sz w:val="20"/>
              </w:rPr>
            </w:pPr>
            <w:r w:rsidRPr="00CC1F61">
              <w:rPr>
                <w:rFonts w:ascii="Times New Roman" w:hAnsi="Times New Roman"/>
                <w:b/>
                <w:bCs/>
                <w:sz w:val="20"/>
              </w:rPr>
              <w:t>F1</w:t>
            </w:r>
          </w:p>
        </w:tc>
      </w:tr>
      <w:tr w:rsidR="00CC1F61" w:rsidRPr="00CC1F61" w14:paraId="778858D5" w14:textId="77777777" w:rsidTr="00CC1F61">
        <w:tc>
          <w:tcPr>
            <w:tcW w:w="1688" w:type="dxa"/>
            <w:vAlign w:val="center"/>
          </w:tcPr>
          <w:p w14:paraId="65FD31CE" w14:textId="77777777" w:rsidR="00CC1F61" w:rsidRPr="00CC1F61" w:rsidRDefault="00CC1F61" w:rsidP="00CC1F61">
            <w:pPr>
              <w:spacing w:line="360" w:lineRule="auto"/>
              <w:rPr>
                <w:rFonts w:ascii="Times New Roman" w:hAnsi="Times New Roman"/>
                <w:sz w:val="20"/>
              </w:rPr>
            </w:pPr>
            <w:r w:rsidRPr="00CC1F61">
              <w:rPr>
                <w:rFonts w:ascii="Times New Roman" w:hAnsi="Times New Roman"/>
                <w:sz w:val="20"/>
              </w:rPr>
              <w:t>CNN</w:t>
            </w:r>
          </w:p>
        </w:tc>
        <w:tc>
          <w:tcPr>
            <w:tcW w:w="1084" w:type="dxa"/>
            <w:vAlign w:val="center"/>
          </w:tcPr>
          <w:p w14:paraId="3D6C97F5"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0.8333</w:t>
            </w:r>
          </w:p>
        </w:tc>
        <w:tc>
          <w:tcPr>
            <w:tcW w:w="1187" w:type="dxa"/>
            <w:vAlign w:val="center"/>
          </w:tcPr>
          <w:p w14:paraId="0A0E6FF8"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0.6763</w:t>
            </w:r>
          </w:p>
        </w:tc>
        <w:tc>
          <w:tcPr>
            <w:tcW w:w="1070" w:type="dxa"/>
            <w:vAlign w:val="center"/>
          </w:tcPr>
          <w:p w14:paraId="66EA2807"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0.6643</w:t>
            </w:r>
          </w:p>
        </w:tc>
        <w:tc>
          <w:tcPr>
            <w:tcW w:w="1103" w:type="dxa"/>
            <w:vAlign w:val="center"/>
          </w:tcPr>
          <w:p w14:paraId="400E7174"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762.40</w:t>
            </w:r>
          </w:p>
        </w:tc>
        <w:tc>
          <w:tcPr>
            <w:tcW w:w="1080" w:type="dxa"/>
            <w:vAlign w:val="center"/>
          </w:tcPr>
          <w:p w14:paraId="052351FA"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0.5530</w:t>
            </w:r>
          </w:p>
        </w:tc>
        <w:tc>
          <w:tcPr>
            <w:tcW w:w="854" w:type="dxa"/>
            <w:vAlign w:val="center"/>
          </w:tcPr>
          <w:p w14:paraId="370C8756"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0.6643</w:t>
            </w:r>
          </w:p>
        </w:tc>
        <w:tc>
          <w:tcPr>
            <w:tcW w:w="951" w:type="dxa"/>
            <w:vAlign w:val="center"/>
          </w:tcPr>
          <w:p w14:paraId="76B0CBD3"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0.5833</w:t>
            </w:r>
          </w:p>
        </w:tc>
      </w:tr>
      <w:tr w:rsidR="00CC1F61" w:rsidRPr="00CC1F61" w14:paraId="258D8141" w14:textId="77777777" w:rsidTr="00CC1F61">
        <w:tc>
          <w:tcPr>
            <w:tcW w:w="1688" w:type="dxa"/>
            <w:vAlign w:val="center"/>
          </w:tcPr>
          <w:p w14:paraId="44C4D4E5" w14:textId="77777777" w:rsidR="00CC1F61" w:rsidRPr="00CC1F61" w:rsidRDefault="00CC1F61" w:rsidP="00CC1F61">
            <w:pPr>
              <w:spacing w:line="360" w:lineRule="auto"/>
              <w:rPr>
                <w:rFonts w:ascii="Times New Roman" w:hAnsi="Times New Roman"/>
                <w:sz w:val="20"/>
              </w:rPr>
            </w:pPr>
            <w:r w:rsidRPr="00CC1F61">
              <w:rPr>
                <w:rFonts w:ascii="Times New Roman" w:hAnsi="Times New Roman"/>
                <w:sz w:val="20"/>
              </w:rPr>
              <w:t>InceptionV3</w:t>
            </w:r>
          </w:p>
        </w:tc>
        <w:tc>
          <w:tcPr>
            <w:tcW w:w="1084" w:type="dxa"/>
            <w:vAlign w:val="center"/>
          </w:tcPr>
          <w:p w14:paraId="4E283639"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0.7129</w:t>
            </w:r>
          </w:p>
        </w:tc>
        <w:tc>
          <w:tcPr>
            <w:tcW w:w="1187" w:type="dxa"/>
            <w:vAlign w:val="center"/>
          </w:tcPr>
          <w:p w14:paraId="77B50B29"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0.6763</w:t>
            </w:r>
          </w:p>
        </w:tc>
        <w:tc>
          <w:tcPr>
            <w:tcW w:w="1070" w:type="dxa"/>
            <w:vAlign w:val="center"/>
          </w:tcPr>
          <w:p w14:paraId="777A17A8"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0.6857</w:t>
            </w:r>
          </w:p>
        </w:tc>
        <w:tc>
          <w:tcPr>
            <w:tcW w:w="1103" w:type="dxa"/>
            <w:vAlign w:val="center"/>
          </w:tcPr>
          <w:p w14:paraId="21EA7A4D"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795.97</w:t>
            </w:r>
          </w:p>
        </w:tc>
        <w:tc>
          <w:tcPr>
            <w:tcW w:w="1080" w:type="dxa"/>
            <w:vAlign w:val="center"/>
          </w:tcPr>
          <w:p w14:paraId="3B628F99"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0.5553</w:t>
            </w:r>
          </w:p>
        </w:tc>
        <w:tc>
          <w:tcPr>
            <w:tcW w:w="854" w:type="dxa"/>
            <w:vAlign w:val="center"/>
          </w:tcPr>
          <w:p w14:paraId="4F2BC031"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0.6857</w:t>
            </w:r>
          </w:p>
        </w:tc>
        <w:tc>
          <w:tcPr>
            <w:tcW w:w="951" w:type="dxa"/>
            <w:vAlign w:val="center"/>
          </w:tcPr>
          <w:p w14:paraId="5C78E8F2"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0.5906</w:t>
            </w:r>
          </w:p>
        </w:tc>
      </w:tr>
      <w:tr w:rsidR="00CC1F61" w:rsidRPr="00CC1F61" w14:paraId="40656B30" w14:textId="77777777" w:rsidTr="00CC1F61">
        <w:tc>
          <w:tcPr>
            <w:tcW w:w="1688" w:type="dxa"/>
            <w:vAlign w:val="center"/>
          </w:tcPr>
          <w:p w14:paraId="40A45F53" w14:textId="77777777" w:rsidR="00CC1F61" w:rsidRPr="00CC1F61" w:rsidRDefault="00CC1F61" w:rsidP="00CC1F61">
            <w:pPr>
              <w:spacing w:line="360" w:lineRule="auto"/>
              <w:rPr>
                <w:rFonts w:ascii="Times New Roman" w:hAnsi="Times New Roman"/>
                <w:sz w:val="20"/>
              </w:rPr>
            </w:pPr>
            <w:r w:rsidRPr="00CC1F61">
              <w:rPr>
                <w:rFonts w:ascii="Times New Roman" w:hAnsi="Times New Roman"/>
                <w:sz w:val="20"/>
              </w:rPr>
              <w:t>RestNet50</w:t>
            </w:r>
          </w:p>
        </w:tc>
        <w:tc>
          <w:tcPr>
            <w:tcW w:w="1084" w:type="dxa"/>
            <w:vAlign w:val="center"/>
          </w:tcPr>
          <w:p w14:paraId="7CE9BC47"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0.8919</w:t>
            </w:r>
          </w:p>
        </w:tc>
        <w:tc>
          <w:tcPr>
            <w:tcW w:w="1187" w:type="dxa"/>
            <w:vAlign w:val="center"/>
          </w:tcPr>
          <w:p w14:paraId="2DE8FAC9"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0.7194</w:t>
            </w:r>
          </w:p>
        </w:tc>
        <w:tc>
          <w:tcPr>
            <w:tcW w:w="1070" w:type="dxa"/>
            <w:vAlign w:val="center"/>
          </w:tcPr>
          <w:p w14:paraId="5DE9C8C2"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0.7786</w:t>
            </w:r>
          </w:p>
        </w:tc>
        <w:tc>
          <w:tcPr>
            <w:tcW w:w="1103" w:type="dxa"/>
            <w:vAlign w:val="center"/>
          </w:tcPr>
          <w:p w14:paraId="6CC7AF36"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1237.22</w:t>
            </w:r>
          </w:p>
        </w:tc>
        <w:tc>
          <w:tcPr>
            <w:tcW w:w="1080" w:type="dxa"/>
            <w:vAlign w:val="center"/>
          </w:tcPr>
          <w:p w14:paraId="4399AAAB"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0.7298</w:t>
            </w:r>
          </w:p>
        </w:tc>
        <w:tc>
          <w:tcPr>
            <w:tcW w:w="854" w:type="dxa"/>
            <w:vAlign w:val="center"/>
          </w:tcPr>
          <w:p w14:paraId="79354C4B"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0.7785</w:t>
            </w:r>
          </w:p>
        </w:tc>
        <w:tc>
          <w:tcPr>
            <w:tcW w:w="951" w:type="dxa"/>
            <w:vAlign w:val="center"/>
          </w:tcPr>
          <w:p w14:paraId="0CBCC1D9"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0.7364</w:t>
            </w:r>
          </w:p>
        </w:tc>
      </w:tr>
      <w:tr w:rsidR="00CC1F61" w:rsidRPr="00CC1F61" w14:paraId="6D9A1F11" w14:textId="77777777" w:rsidTr="00CC1F61">
        <w:tc>
          <w:tcPr>
            <w:tcW w:w="1688" w:type="dxa"/>
            <w:vAlign w:val="center"/>
          </w:tcPr>
          <w:p w14:paraId="0DCDE39C" w14:textId="77777777" w:rsidR="00CC1F61" w:rsidRPr="00CC1F61" w:rsidRDefault="00CC1F61" w:rsidP="00CC1F61">
            <w:pPr>
              <w:spacing w:line="360" w:lineRule="auto"/>
              <w:rPr>
                <w:rFonts w:ascii="Times New Roman" w:hAnsi="Times New Roman"/>
                <w:sz w:val="20"/>
              </w:rPr>
            </w:pPr>
            <w:r w:rsidRPr="00CC1F61">
              <w:rPr>
                <w:rFonts w:ascii="Times New Roman" w:hAnsi="Times New Roman"/>
                <w:sz w:val="20"/>
              </w:rPr>
              <w:t>RestNet101</w:t>
            </w:r>
          </w:p>
        </w:tc>
        <w:tc>
          <w:tcPr>
            <w:tcW w:w="1084" w:type="dxa"/>
            <w:vAlign w:val="center"/>
          </w:tcPr>
          <w:p w14:paraId="2EA1A2FA"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0.8735</w:t>
            </w:r>
          </w:p>
        </w:tc>
        <w:tc>
          <w:tcPr>
            <w:tcW w:w="1187" w:type="dxa"/>
            <w:vAlign w:val="center"/>
          </w:tcPr>
          <w:p w14:paraId="09F6195B"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0.7338</w:t>
            </w:r>
          </w:p>
        </w:tc>
        <w:tc>
          <w:tcPr>
            <w:tcW w:w="1070" w:type="dxa"/>
            <w:vAlign w:val="center"/>
          </w:tcPr>
          <w:p w14:paraId="413764F1"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0.8000</w:t>
            </w:r>
          </w:p>
        </w:tc>
        <w:tc>
          <w:tcPr>
            <w:tcW w:w="1103" w:type="dxa"/>
            <w:vAlign w:val="center"/>
          </w:tcPr>
          <w:p w14:paraId="052843D3"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1817.57</w:t>
            </w:r>
          </w:p>
        </w:tc>
        <w:tc>
          <w:tcPr>
            <w:tcW w:w="1080" w:type="dxa"/>
            <w:vAlign w:val="center"/>
          </w:tcPr>
          <w:p w14:paraId="74BEBA0F"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0.8179</w:t>
            </w:r>
          </w:p>
        </w:tc>
        <w:tc>
          <w:tcPr>
            <w:tcW w:w="854" w:type="dxa"/>
            <w:vAlign w:val="center"/>
          </w:tcPr>
          <w:p w14:paraId="53F4CB6E"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0.8000</w:t>
            </w:r>
          </w:p>
        </w:tc>
        <w:tc>
          <w:tcPr>
            <w:tcW w:w="951" w:type="dxa"/>
            <w:vAlign w:val="center"/>
          </w:tcPr>
          <w:p w14:paraId="712D3012" w14:textId="77777777" w:rsidR="00CC1F61" w:rsidRPr="00CC1F61" w:rsidRDefault="00CC1F61" w:rsidP="00CC1F61">
            <w:pPr>
              <w:spacing w:line="360" w:lineRule="auto"/>
              <w:jc w:val="center"/>
              <w:rPr>
                <w:rFonts w:ascii="Times New Roman" w:hAnsi="Times New Roman"/>
                <w:sz w:val="20"/>
              </w:rPr>
            </w:pPr>
            <w:r w:rsidRPr="00CC1F61">
              <w:rPr>
                <w:rFonts w:ascii="Times New Roman" w:hAnsi="Times New Roman"/>
                <w:sz w:val="20"/>
              </w:rPr>
              <w:t>0.7690</w:t>
            </w:r>
          </w:p>
        </w:tc>
      </w:tr>
    </w:tbl>
    <w:p w14:paraId="5009B7BA" w14:textId="25C8C929" w:rsidR="00CC1F61" w:rsidRPr="003F29F4" w:rsidRDefault="00CC1F61" w:rsidP="00CC1F61">
      <w:pPr>
        <w:pStyle w:val="Heading5"/>
        <w:spacing w:line="360" w:lineRule="auto"/>
        <w:rPr>
          <w:b w:val="0"/>
          <w:bCs/>
          <w:color w:val="000000"/>
        </w:rPr>
      </w:pPr>
      <w:r w:rsidRPr="003F29F4">
        <w:rPr>
          <w:b w:val="0"/>
          <w:bCs/>
          <w:color w:val="000000"/>
        </w:rPr>
        <w:t>The analysis of 1000 intertrochanteric femoral fracture cases (500 Fracture, 500 Non-Fracture) using ResNet50, ResNet101, InceptionV3, and Custom CNN models reveals varying confidence scores, with ResNet101 achieving the highest mean (0.876) for Fracture and Custom CNN the highest (0.656) for Non-Fracture</w:t>
      </w:r>
      <w:r>
        <w:rPr>
          <w:b w:val="0"/>
          <w:bCs/>
          <w:color w:val="000000"/>
        </w:rPr>
        <w:t xml:space="preserve"> in Tables 2,3,4, and 5</w:t>
      </w:r>
      <w:r w:rsidRPr="003F29F4">
        <w:rPr>
          <w:b w:val="0"/>
          <w:bCs/>
          <w:color w:val="000000"/>
        </w:rPr>
        <w:t xml:space="preserve">. The 90%, 95%, and 99% confidence intervals, detailed in the table, show widening ranges (e.g., ResNet101 Fracture CI from 0.870–0.882 at 90% to 0.866–0.885 at 99%), reflecting increased uncertainty at higher confidence levels. </w:t>
      </w:r>
      <w:r>
        <w:rPr>
          <w:b w:val="0"/>
          <w:bCs/>
          <w:color w:val="000000"/>
        </w:rPr>
        <w:t>Figure 1</w:t>
      </w:r>
      <w:r w:rsidRPr="003F29F4">
        <w:rPr>
          <w:b w:val="0"/>
          <w:bCs/>
          <w:color w:val="000000"/>
        </w:rPr>
        <w:t xml:space="preserve"> visualizes these sampling distributions with shaded CI regions and mean lines, highlighting ResNet101’s strength in fracture detection and Custom CNN’s balance across groups, aiding clinical diagnosis from X-ray images.</w:t>
      </w:r>
    </w:p>
    <w:p w14:paraId="66D4239C" w14:textId="77777777" w:rsidR="00CC1F61" w:rsidRDefault="00CC1F61" w:rsidP="00CC1F61">
      <w:pPr>
        <w:spacing w:line="360" w:lineRule="auto"/>
        <w:rPr>
          <w:rFonts w:ascii="Times New Roman" w:hAnsi="Times New Roman"/>
          <w:color w:val="000000" w:themeColor="text1"/>
          <w:sz w:val="22"/>
          <w:szCs w:val="24"/>
        </w:rPr>
      </w:pPr>
    </w:p>
    <w:p w14:paraId="7E19854E" w14:textId="185110C1" w:rsidR="00D77DCA" w:rsidRPr="003F29F4" w:rsidRDefault="00D77DCA" w:rsidP="003F29F4">
      <w:pPr>
        <w:pStyle w:val="Caption"/>
        <w:keepNext/>
        <w:rPr>
          <w:rFonts w:ascii="Times New Roman" w:hAnsi="Times New Roman"/>
          <w:b/>
          <w:bCs/>
          <w:i w:val="0"/>
          <w:iCs w:val="0"/>
          <w:color w:val="000000" w:themeColor="text1"/>
          <w:sz w:val="20"/>
          <w:szCs w:val="20"/>
        </w:rPr>
      </w:pPr>
      <w:r w:rsidRPr="00D77DCA">
        <w:rPr>
          <w:rFonts w:ascii="Times New Roman" w:hAnsi="Times New Roman"/>
          <w:b/>
          <w:bCs/>
          <w:i w:val="0"/>
          <w:iCs w:val="0"/>
          <w:color w:val="000000" w:themeColor="text1"/>
          <w:sz w:val="20"/>
          <w:szCs w:val="20"/>
        </w:rPr>
        <w:lastRenderedPageBreak/>
        <w:t xml:space="preserve">Table </w:t>
      </w:r>
      <w:r w:rsidRPr="00D77DCA">
        <w:rPr>
          <w:rFonts w:ascii="Times New Roman" w:hAnsi="Times New Roman"/>
          <w:b/>
          <w:bCs/>
          <w:i w:val="0"/>
          <w:iCs w:val="0"/>
          <w:color w:val="000000" w:themeColor="text1"/>
          <w:sz w:val="20"/>
          <w:szCs w:val="20"/>
        </w:rPr>
        <w:fldChar w:fldCharType="begin"/>
      </w:r>
      <w:r w:rsidRPr="00D77DCA">
        <w:rPr>
          <w:rFonts w:ascii="Times New Roman" w:hAnsi="Times New Roman"/>
          <w:b/>
          <w:bCs/>
          <w:i w:val="0"/>
          <w:iCs w:val="0"/>
          <w:color w:val="000000" w:themeColor="text1"/>
          <w:sz w:val="20"/>
          <w:szCs w:val="20"/>
        </w:rPr>
        <w:instrText xml:space="preserve"> SEQ Table \* ARABIC </w:instrText>
      </w:r>
      <w:r w:rsidRPr="00D77DCA">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2</w:t>
      </w:r>
      <w:r w:rsidRPr="00D77DCA">
        <w:rPr>
          <w:rFonts w:ascii="Times New Roman" w:hAnsi="Times New Roman"/>
          <w:b/>
          <w:bCs/>
          <w:i w:val="0"/>
          <w:iCs w:val="0"/>
          <w:color w:val="000000" w:themeColor="text1"/>
          <w:sz w:val="20"/>
          <w:szCs w:val="20"/>
        </w:rPr>
        <w:fldChar w:fldCharType="end"/>
      </w:r>
      <w:r w:rsidRPr="00D77DCA">
        <w:rPr>
          <w:rFonts w:ascii="Times New Roman" w:hAnsi="Times New Roman"/>
          <w:b/>
          <w:bCs/>
          <w:i w:val="0"/>
          <w:iCs w:val="0"/>
          <w:color w:val="000000" w:themeColor="text1"/>
          <w:sz w:val="20"/>
          <w:szCs w:val="20"/>
        </w:rPr>
        <w:t xml:space="preserve">. </w:t>
      </w:r>
      <w:r w:rsidRPr="00D77DCA">
        <w:rPr>
          <w:rFonts w:ascii="Times New Roman" w:hAnsi="Times New Roman"/>
          <w:i w:val="0"/>
          <w:iCs w:val="0"/>
          <w:color w:val="000000" w:themeColor="text1"/>
          <w:sz w:val="20"/>
          <w:szCs w:val="20"/>
        </w:rPr>
        <w:t xml:space="preserve">ResNet50 </w:t>
      </w:r>
      <w:r>
        <w:rPr>
          <w:rFonts w:ascii="Times New Roman" w:hAnsi="Times New Roman"/>
          <w:i w:val="0"/>
          <w:iCs w:val="0"/>
          <w:color w:val="000000" w:themeColor="text1"/>
          <w:sz w:val="20"/>
          <w:szCs w:val="20"/>
        </w:rPr>
        <w:t>Confidence</w:t>
      </w:r>
      <w:r w:rsidRPr="00D77DCA">
        <w:rPr>
          <w:rFonts w:ascii="Times New Roman" w:hAnsi="Times New Roman"/>
          <w:i w:val="0"/>
          <w:iCs w:val="0"/>
          <w:color w:val="000000" w:themeColor="text1"/>
          <w:sz w:val="20"/>
          <w:szCs w:val="20"/>
        </w:rPr>
        <w:t xml:space="preserve"> Interval results</w:t>
      </w:r>
      <w:r w:rsidR="003A33BA">
        <w:rPr>
          <w:rFonts w:ascii="Times New Roman" w:hAnsi="Times New Roman"/>
          <w:i w:val="0"/>
          <w:iCs w:val="0"/>
          <w:color w:val="000000" w:themeColor="text1"/>
          <w:sz w:val="20"/>
          <w:szCs w:val="20"/>
        </w:rPr>
        <w:tab/>
        <w:t xml:space="preserve">              </w:t>
      </w:r>
      <w:r w:rsidR="003A33BA" w:rsidRPr="003A33BA">
        <w:rPr>
          <w:rFonts w:ascii="Times New Roman" w:hAnsi="Times New Roman"/>
          <w:b/>
          <w:bCs/>
          <w:i w:val="0"/>
          <w:iCs w:val="0"/>
          <w:color w:val="000000" w:themeColor="text1"/>
          <w:sz w:val="20"/>
          <w:szCs w:val="20"/>
        </w:rPr>
        <w:t xml:space="preserve">Table </w:t>
      </w:r>
      <w:r w:rsidR="003A33BA" w:rsidRPr="003A33BA">
        <w:rPr>
          <w:rFonts w:ascii="Times New Roman" w:hAnsi="Times New Roman"/>
          <w:b/>
          <w:bCs/>
          <w:i w:val="0"/>
          <w:iCs w:val="0"/>
          <w:color w:val="000000" w:themeColor="text1"/>
          <w:sz w:val="20"/>
          <w:szCs w:val="20"/>
        </w:rPr>
        <w:fldChar w:fldCharType="begin"/>
      </w:r>
      <w:r w:rsidR="003A33BA" w:rsidRPr="003A33BA">
        <w:rPr>
          <w:rFonts w:ascii="Times New Roman" w:hAnsi="Times New Roman"/>
          <w:b/>
          <w:bCs/>
          <w:i w:val="0"/>
          <w:iCs w:val="0"/>
          <w:color w:val="000000" w:themeColor="text1"/>
          <w:sz w:val="20"/>
          <w:szCs w:val="20"/>
        </w:rPr>
        <w:instrText xml:space="preserve"> SEQ Table \* ARABIC </w:instrText>
      </w:r>
      <w:r w:rsidR="003A33BA" w:rsidRPr="003A33BA">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3</w:t>
      </w:r>
      <w:r w:rsidR="003A33BA" w:rsidRPr="003A33BA">
        <w:rPr>
          <w:rFonts w:ascii="Times New Roman" w:hAnsi="Times New Roman"/>
          <w:b/>
          <w:bCs/>
          <w:i w:val="0"/>
          <w:iCs w:val="0"/>
          <w:color w:val="000000" w:themeColor="text1"/>
          <w:sz w:val="20"/>
          <w:szCs w:val="20"/>
        </w:rPr>
        <w:fldChar w:fldCharType="end"/>
      </w:r>
      <w:r w:rsidR="003A33BA" w:rsidRPr="003A33BA">
        <w:rPr>
          <w:rFonts w:ascii="Times New Roman" w:hAnsi="Times New Roman"/>
          <w:b/>
          <w:bCs/>
          <w:i w:val="0"/>
          <w:iCs w:val="0"/>
          <w:color w:val="000000" w:themeColor="text1"/>
          <w:sz w:val="20"/>
          <w:szCs w:val="20"/>
        </w:rPr>
        <w:t xml:space="preserve">. </w:t>
      </w:r>
      <w:r w:rsidR="003A33BA" w:rsidRPr="003A33BA">
        <w:rPr>
          <w:rFonts w:ascii="Times New Roman" w:hAnsi="Times New Roman"/>
          <w:i w:val="0"/>
          <w:iCs w:val="0"/>
          <w:color w:val="000000" w:themeColor="text1"/>
          <w:sz w:val="20"/>
          <w:szCs w:val="20"/>
        </w:rPr>
        <w:t>ResNet101 Confidence Interval results</w:t>
      </w:r>
    </w:p>
    <w:tbl>
      <w:tblPr>
        <w:tblStyle w:val="TableGrid"/>
        <w:tblW w:w="4698" w:type="dxa"/>
        <w:tblLook w:val="04A0" w:firstRow="1" w:lastRow="0" w:firstColumn="1" w:lastColumn="0" w:noHBand="0" w:noVBand="1"/>
      </w:tblPr>
      <w:tblGrid>
        <w:gridCol w:w="1025"/>
        <w:gridCol w:w="1183"/>
        <w:gridCol w:w="766"/>
        <w:gridCol w:w="866"/>
        <w:gridCol w:w="858"/>
      </w:tblGrid>
      <w:tr w:rsidR="00D77DCA" w:rsidRPr="00CC1F61" w14:paraId="5DA3E316" w14:textId="77777777" w:rsidTr="003A33BA">
        <w:trPr>
          <w:trHeight w:val="327"/>
        </w:trPr>
        <w:tc>
          <w:tcPr>
            <w:tcW w:w="0" w:type="auto"/>
            <w:vAlign w:val="center"/>
            <w:hideMark/>
          </w:tcPr>
          <w:p w14:paraId="7284BB87" w14:textId="77777777" w:rsidR="00D77DCA" w:rsidRPr="00D77DCA" w:rsidRDefault="00D77DCA" w:rsidP="00D77DCA">
            <w:pPr>
              <w:pStyle w:val="Heading5"/>
              <w:jc w:val="center"/>
              <w:rPr>
                <w:bCs/>
                <w:color w:val="000000"/>
                <w:sz w:val="20"/>
                <w:szCs w:val="20"/>
              </w:rPr>
            </w:pPr>
            <w:r w:rsidRPr="00D77DCA">
              <w:rPr>
                <w:bCs/>
                <w:color w:val="000000"/>
                <w:sz w:val="20"/>
                <w:szCs w:val="20"/>
              </w:rPr>
              <w:t>Group</w:t>
            </w:r>
          </w:p>
        </w:tc>
        <w:tc>
          <w:tcPr>
            <w:tcW w:w="0" w:type="auto"/>
            <w:vAlign w:val="center"/>
            <w:hideMark/>
          </w:tcPr>
          <w:p w14:paraId="691B1689" w14:textId="77777777" w:rsidR="00D77DCA" w:rsidRPr="00D77DCA" w:rsidRDefault="00D77DCA" w:rsidP="00D77DCA">
            <w:pPr>
              <w:pStyle w:val="Heading5"/>
              <w:jc w:val="center"/>
              <w:rPr>
                <w:bCs/>
                <w:color w:val="000000"/>
                <w:sz w:val="20"/>
                <w:szCs w:val="20"/>
              </w:rPr>
            </w:pPr>
            <w:r w:rsidRPr="00D77DCA">
              <w:rPr>
                <w:bCs/>
                <w:color w:val="000000"/>
                <w:sz w:val="20"/>
                <w:szCs w:val="20"/>
              </w:rPr>
              <w:t>Confidence</w:t>
            </w:r>
          </w:p>
        </w:tc>
        <w:tc>
          <w:tcPr>
            <w:tcW w:w="0" w:type="auto"/>
            <w:vAlign w:val="center"/>
            <w:hideMark/>
          </w:tcPr>
          <w:p w14:paraId="4F3C8692" w14:textId="77777777" w:rsidR="00D77DCA" w:rsidRPr="00D77DCA" w:rsidRDefault="00D77DCA" w:rsidP="00D77DCA">
            <w:pPr>
              <w:pStyle w:val="Heading5"/>
              <w:jc w:val="center"/>
              <w:rPr>
                <w:bCs/>
                <w:color w:val="000000"/>
                <w:sz w:val="20"/>
                <w:szCs w:val="20"/>
              </w:rPr>
            </w:pPr>
            <w:r w:rsidRPr="00D77DCA">
              <w:rPr>
                <w:bCs/>
                <w:color w:val="000000"/>
                <w:sz w:val="20"/>
                <w:szCs w:val="20"/>
              </w:rPr>
              <w:t>Mean</w:t>
            </w:r>
          </w:p>
        </w:tc>
        <w:tc>
          <w:tcPr>
            <w:tcW w:w="0" w:type="auto"/>
            <w:vAlign w:val="center"/>
            <w:hideMark/>
          </w:tcPr>
          <w:p w14:paraId="60037218" w14:textId="77777777" w:rsidR="00D77DCA" w:rsidRPr="00D77DCA" w:rsidRDefault="00D77DCA" w:rsidP="00D77DCA">
            <w:pPr>
              <w:pStyle w:val="Heading5"/>
              <w:jc w:val="center"/>
              <w:rPr>
                <w:bCs/>
                <w:color w:val="000000"/>
                <w:sz w:val="20"/>
                <w:szCs w:val="20"/>
              </w:rPr>
            </w:pPr>
            <w:r w:rsidRPr="00D77DCA">
              <w:rPr>
                <w:bCs/>
                <w:color w:val="000000"/>
                <w:sz w:val="20"/>
                <w:szCs w:val="20"/>
              </w:rPr>
              <w:t>CI Lower</w:t>
            </w:r>
          </w:p>
        </w:tc>
        <w:tc>
          <w:tcPr>
            <w:tcW w:w="0" w:type="auto"/>
            <w:vAlign w:val="center"/>
            <w:hideMark/>
          </w:tcPr>
          <w:p w14:paraId="7F3CE180" w14:textId="77777777" w:rsidR="00D77DCA" w:rsidRPr="00D77DCA" w:rsidRDefault="00D77DCA" w:rsidP="00D77DCA">
            <w:pPr>
              <w:pStyle w:val="Heading5"/>
              <w:jc w:val="center"/>
              <w:rPr>
                <w:bCs/>
                <w:color w:val="000000"/>
                <w:sz w:val="20"/>
                <w:szCs w:val="20"/>
              </w:rPr>
            </w:pPr>
            <w:r w:rsidRPr="00D77DCA">
              <w:rPr>
                <w:bCs/>
                <w:color w:val="000000"/>
                <w:sz w:val="20"/>
                <w:szCs w:val="20"/>
              </w:rPr>
              <w:t>CI Upper</w:t>
            </w:r>
          </w:p>
        </w:tc>
      </w:tr>
      <w:tr w:rsidR="00D77DCA" w:rsidRPr="00CC1F61" w14:paraId="21275B36" w14:textId="77777777" w:rsidTr="003A33BA">
        <w:trPr>
          <w:trHeight w:val="365"/>
        </w:trPr>
        <w:tc>
          <w:tcPr>
            <w:tcW w:w="0" w:type="auto"/>
            <w:vMerge w:val="restart"/>
            <w:vAlign w:val="center"/>
            <w:hideMark/>
          </w:tcPr>
          <w:p w14:paraId="734B98EF" w14:textId="77777777" w:rsidR="00D77DCA" w:rsidRPr="00D77DCA" w:rsidRDefault="00D77DCA" w:rsidP="00D77DCA">
            <w:pPr>
              <w:pStyle w:val="Heading5"/>
              <w:jc w:val="center"/>
              <w:rPr>
                <w:b w:val="0"/>
                <w:color w:val="000000"/>
                <w:sz w:val="20"/>
                <w:szCs w:val="20"/>
              </w:rPr>
            </w:pPr>
            <w:r w:rsidRPr="00D77DCA">
              <w:rPr>
                <w:b w:val="0"/>
                <w:color w:val="000000"/>
                <w:sz w:val="20"/>
                <w:szCs w:val="20"/>
              </w:rPr>
              <w:t>Fracture</w:t>
            </w:r>
          </w:p>
        </w:tc>
        <w:tc>
          <w:tcPr>
            <w:tcW w:w="0" w:type="auto"/>
            <w:vAlign w:val="center"/>
            <w:hideMark/>
          </w:tcPr>
          <w:p w14:paraId="3636EFC7" w14:textId="77777777" w:rsidR="00D77DCA" w:rsidRPr="00D77DCA" w:rsidRDefault="00D77DCA" w:rsidP="00D77DCA">
            <w:pPr>
              <w:pStyle w:val="Heading5"/>
              <w:jc w:val="center"/>
              <w:rPr>
                <w:b w:val="0"/>
                <w:color w:val="000000"/>
                <w:sz w:val="20"/>
                <w:szCs w:val="20"/>
              </w:rPr>
            </w:pPr>
            <w:r w:rsidRPr="00D77DCA">
              <w:rPr>
                <w:b w:val="0"/>
                <w:color w:val="000000"/>
                <w:sz w:val="20"/>
                <w:szCs w:val="20"/>
              </w:rPr>
              <w:t>90%</w:t>
            </w:r>
          </w:p>
        </w:tc>
        <w:tc>
          <w:tcPr>
            <w:tcW w:w="0" w:type="auto"/>
            <w:vAlign w:val="center"/>
            <w:hideMark/>
          </w:tcPr>
          <w:p w14:paraId="74996EF2" w14:textId="59681232" w:rsidR="00D77DCA" w:rsidRPr="00D77DCA" w:rsidRDefault="00D77DCA" w:rsidP="00D77DCA">
            <w:pPr>
              <w:pStyle w:val="Heading5"/>
              <w:jc w:val="center"/>
              <w:rPr>
                <w:b w:val="0"/>
                <w:color w:val="000000"/>
                <w:sz w:val="20"/>
                <w:szCs w:val="20"/>
              </w:rPr>
            </w:pPr>
            <w:r w:rsidRPr="00D77DCA">
              <w:rPr>
                <w:b w:val="0"/>
                <w:color w:val="000000"/>
                <w:sz w:val="20"/>
                <w:szCs w:val="20"/>
              </w:rPr>
              <w:t>0.8474</w:t>
            </w:r>
          </w:p>
        </w:tc>
        <w:tc>
          <w:tcPr>
            <w:tcW w:w="0" w:type="auto"/>
            <w:vAlign w:val="center"/>
            <w:hideMark/>
          </w:tcPr>
          <w:p w14:paraId="3D4228F5" w14:textId="512805BB" w:rsidR="00D77DCA" w:rsidRPr="00D77DCA" w:rsidRDefault="00D77DCA" w:rsidP="00D77DCA">
            <w:pPr>
              <w:pStyle w:val="Heading5"/>
              <w:jc w:val="center"/>
              <w:rPr>
                <w:b w:val="0"/>
                <w:color w:val="000000"/>
                <w:sz w:val="20"/>
                <w:szCs w:val="20"/>
              </w:rPr>
            </w:pPr>
            <w:r w:rsidRPr="00D77DCA">
              <w:rPr>
                <w:b w:val="0"/>
                <w:color w:val="000000"/>
                <w:sz w:val="20"/>
                <w:szCs w:val="20"/>
              </w:rPr>
              <w:t>0.8407</w:t>
            </w:r>
          </w:p>
        </w:tc>
        <w:tc>
          <w:tcPr>
            <w:tcW w:w="0" w:type="auto"/>
            <w:vAlign w:val="center"/>
            <w:hideMark/>
          </w:tcPr>
          <w:p w14:paraId="2E2A2056" w14:textId="3D52F919" w:rsidR="00D77DCA" w:rsidRPr="00D77DCA" w:rsidRDefault="00D77DCA" w:rsidP="00D77DCA">
            <w:pPr>
              <w:pStyle w:val="Heading5"/>
              <w:jc w:val="center"/>
              <w:rPr>
                <w:b w:val="0"/>
                <w:color w:val="000000"/>
                <w:sz w:val="20"/>
                <w:szCs w:val="20"/>
              </w:rPr>
            </w:pPr>
            <w:r w:rsidRPr="00D77DCA">
              <w:rPr>
                <w:b w:val="0"/>
                <w:color w:val="000000"/>
                <w:sz w:val="20"/>
                <w:szCs w:val="20"/>
              </w:rPr>
              <w:t>0.8541</w:t>
            </w:r>
          </w:p>
        </w:tc>
      </w:tr>
      <w:tr w:rsidR="00D77DCA" w:rsidRPr="00CC1F61" w14:paraId="772E6B6F" w14:textId="77777777" w:rsidTr="003A33BA">
        <w:trPr>
          <w:trHeight w:val="109"/>
        </w:trPr>
        <w:tc>
          <w:tcPr>
            <w:tcW w:w="0" w:type="auto"/>
            <w:vMerge/>
            <w:vAlign w:val="center"/>
            <w:hideMark/>
          </w:tcPr>
          <w:p w14:paraId="7DE2E388" w14:textId="77777777" w:rsidR="00D77DCA" w:rsidRPr="00D77DCA" w:rsidRDefault="00D77DCA" w:rsidP="00D77DCA">
            <w:pPr>
              <w:pStyle w:val="Heading5"/>
              <w:jc w:val="center"/>
              <w:rPr>
                <w:b w:val="0"/>
                <w:color w:val="000000"/>
                <w:sz w:val="20"/>
                <w:szCs w:val="20"/>
              </w:rPr>
            </w:pPr>
          </w:p>
        </w:tc>
        <w:tc>
          <w:tcPr>
            <w:tcW w:w="0" w:type="auto"/>
            <w:vAlign w:val="center"/>
            <w:hideMark/>
          </w:tcPr>
          <w:p w14:paraId="043FCC19" w14:textId="77777777" w:rsidR="00D77DCA" w:rsidRPr="00D77DCA" w:rsidRDefault="00D77DCA" w:rsidP="00D77DCA">
            <w:pPr>
              <w:pStyle w:val="Heading5"/>
              <w:jc w:val="center"/>
              <w:rPr>
                <w:b w:val="0"/>
                <w:color w:val="000000"/>
                <w:sz w:val="20"/>
                <w:szCs w:val="20"/>
              </w:rPr>
            </w:pPr>
            <w:r w:rsidRPr="00D77DCA">
              <w:rPr>
                <w:b w:val="0"/>
                <w:color w:val="000000"/>
                <w:sz w:val="20"/>
                <w:szCs w:val="20"/>
              </w:rPr>
              <w:t>95%</w:t>
            </w:r>
          </w:p>
        </w:tc>
        <w:tc>
          <w:tcPr>
            <w:tcW w:w="0" w:type="auto"/>
            <w:vAlign w:val="center"/>
            <w:hideMark/>
          </w:tcPr>
          <w:p w14:paraId="1E859FF2" w14:textId="6F04F510" w:rsidR="00D77DCA" w:rsidRPr="00D77DCA" w:rsidRDefault="00D77DCA" w:rsidP="00D77DCA">
            <w:pPr>
              <w:pStyle w:val="Heading5"/>
              <w:jc w:val="center"/>
              <w:rPr>
                <w:b w:val="0"/>
                <w:color w:val="000000"/>
                <w:sz w:val="20"/>
                <w:szCs w:val="20"/>
              </w:rPr>
            </w:pPr>
            <w:r w:rsidRPr="00D77DCA">
              <w:rPr>
                <w:b w:val="0"/>
                <w:color w:val="000000"/>
                <w:sz w:val="20"/>
                <w:szCs w:val="20"/>
              </w:rPr>
              <w:t>0.8474</w:t>
            </w:r>
          </w:p>
        </w:tc>
        <w:tc>
          <w:tcPr>
            <w:tcW w:w="0" w:type="auto"/>
            <w:vAlign w:val="center"/>
            <w:hideMark/>
          </w:tcPr>
          <w:p w14:paraId="0755B79F" w14:textId="0D0601E5" w:rsidR="00D77DCA" w:rsidRPr="00D77DCA" w:rsidRDefault="00D77DCA" w:rsidP="00D77DCA">
            <w:pPr>
              <w:pStyle w:val="Heading5"/>
              <w:jc w:val="center"/>
              <w:rPr>
                <w:b w:val="0"/>
                <w:color w:val="000000"/>
                <w:sz w:val="20"/>
                <w:szCs w:val="20"/>
              </w:rPr>
            </w:pPr>
            <w:r w:rsidRPr="00D77DCA">
              <w:rPr>
                <w:b w:val="0"/>
                <w:color w:val="000000"/>
                <w:sz w:val="20"/>
                <w:szCs w:val="20"/>
              </w:rPr>
              <w:t>0.8394</w:t>
            </w:r>
          </w:p>
        </w:tc>
        <w:tc>
          <w:tcPr>
            <w:tcW w:w="0" w:type="auto"/>
            <w:vAlign w:val="center"/>
            <w:hideMark/>
          </w:tcPr>
          <w:p w14:paraId="7E7204C8" w14:textId="1232B168" w:rsidR="00D77DCA" w:rsidRPr="00D77DCA" w:rsidRDefault="00D77DCA" w:rsidP="00D77DCA">
            <w:pPr>
              <w:pStyle w:val="Heading5"/>
              <w:jc w:val="center"/>
              <w:rPr>
                <w:b w:val="0"/>
                <w:color w:val="000000"/>
                <w:sz w:val="20"/>
                <w:szCs w:val="20"/>
              </w:rPr>
            </w:pPr>
            <w:r w:rsidRPr="00D77DCA">
              <w:rPr>
                <w:b w:val="0"/>
                <w:color w:val="000000"/>
                <w:sz w:val="20"/>
                <w:szCs w:val="20"/>
              </w:rPr>
              <w:t>0.8554</w:t>
            </w:r>
          </w:p>
        </w:tc>
      </w:tr>
      <w:tr w:rsidR="00D77DCA" w:rsidRPr="00CC1F61" w14:paraId="4A30FE2A" w14:textId="77777777" w:rsidTr="003A33BA">
        <w:trPr>
          <w:trHeight w:val="109"/>
        </w:trPr>
        <w:tc>
          <w:tcPr>
            <w:tcW w:w="0" w:type="auto"/>
            <w:vMerge/>
            <w:vAlign w:val="center"/>
            <w:hideMark/>
          </w:tcPr>
          <w:p w14:paraId="4ADC680D" w14:textId="77777777" w:rsidR="00D77DCA" w:rsidRPr="00D77DCA" w:rsidRDefault="00D77DCA" w:rsidP="00D77DCA">
            <w:pPr>
              <w:pStyle w:val="Heading5"/>
              <w:jc w:val="center"/>
              <w:rPr>
                <w:b w:val="0"/>
                <w:color w:val="000000"/>
                <w:sz w:val="20"/>
                <w:szCs w:val="20"/>
              </w:rPr>
            </w:pPr>
          </w:p>
        </w:tc>
        <w:tc>
          <w:tcPr>
            <w:tcW w:w="0" w:type="auto"/>
            <w:vAlign w:val="center"/>
            <w:hideMark/>
          </w:tcPr>
          <w:p w14:paraId="049095C4" w14:textId="77777777" w:rsidR="00D77DCA" w:rsidRPr="00D77DCA" w:rsidRDefault="00D77DCA" w:rsidP="00D77DCA">
            <w:pPr>
              <w:pStyle w:val="Heading5"/>
              <w:jc w:val="center"/>
              <w:rPr>
                <w:b w:val="0"/>
                <w:color w:val="000000"/>
                <w:sz w:val="20"/>
                <w:szCs w:val="20"/>
              </w:rPr>
            </w:pPr>
            <w:r w:rsidRPr="00D77DCA">
              <w:rPr>
                <w:b w:val="0"/>
                <w:color w:val="000000"/>
                <w:sz w:val="20"/>
                <w:szCs w:val="20"/>
              </w:rPr>
              <w:t>99%</w:t>
            </w:r>
          </w:p>
        </w:tc>
        <w:tc>
          <w:tcPr>
            <w:tcW w:w="0" w:type="auto"/>
            <w:vAlign w:val="center"/>
            <w:hideMark/>
          </w:tcPr>
          <w:p w14:paraId="39CE27EA" w14:textId="57219B1D" w:rsidR="00D77DCA" w:rsidRPr="00D77DCA" w:rsidRDefault="00D77DCA" w:rsidP="00D77DCA">
            <w:pPr>
              <w:pStyle w:val="Heading5"/>
              <w:jc w:val="center"/>
              <w:rPr>
                <w:b w:val="0"/>
                <w:color w:val="000000"/>
                <w:sz w:val="20"/>
                <w:szCs w:val="20"/>
              </w:rPr>
            </w:pPr>
            <w:r w:rsidRPr="00D77DCA">
              <w:rPr>
                <w:b w:val="0"/>
                <w:color w:val="000000"/>
                <w:sz w:val="20"/>
                <w:szCs w:val="20"/>
              </w:rPr>
              <w:t>0.8474</w:t>
            </w:r>
          </w:p>
        </w:tc>
        <w:tc>
          <w:tcPr>
            <w:tcW w:w="0" w:type="auto"/>
            <w:vAlign w:val="center"/>
            <w:hideMark/>
          </w:tcPr>
          <w:p w14:paraId="34DE2030" w14:textId="5B6F4400" w:rsidR="00D77DCA" w:rsidRPr="00D77DCA" w:rsidRDefault="00D77DCA" w:rsidP="00D77DCA">
            <w:pPr>
              <w:pStyle w:val="Heading5"/>
              <w:jc w:val="center"/>
              <w:rPr>
                <w:b w:val="0"/>
                <w:color w:val="000000"/>
                <w:sz w:val="20"/>
                <w:szCs w:val="20"/>
              </w:rPr>
            </w:pPr>
            <w:r w:rsidRPr="00D77DCA">
              <w:rPr>
                <w:b w:val="0"/>
                <w:color w:val="000000"/>
                <w:sz w:val="20"/>
                <w:szCs w:val="20"/>
              </w:rPr>
              <w:t>0.8369</w:t>
            </w:r>
          </w:p>
        </w:tc>
        <w:tc>
          <w:tcPr>
            <w:tcW w:w="0" w:type="auto"/>
            <w:vAlign w:val="center"/>
            <w:hideMark/>
          </w:tcPr>
          <w:p w14:paraId="4885A5A8" w14:textId="6CE990EE" w:rsidR="00D77DCA" w:rsidRPr="00D77DCA" w:rsidRDefault="00D77DCA" w:rsidP="00D77DCA">
            <w:pPr>
              <w:pStyle w:val="Heading5"/>
              <w:jc w:val="center"/>
              <w:rPr>
                <w:b w:val="0"/>
                <w:color w:val="000000"/>
                <w:sz w:val="20"/>
                <w:szCs w:val="20"/>
              </w:rPr>
            </w:pPr>
            <w:r w:rsidRPr="00D77DCA">
              <w:rPr>
                <w:b w:val="0"/>
                <w:color w:val="000000"/>
                <w:sz w:val="20"/>
                <w:szCs w:val="20"/>
              </w:rPr>
              <w:t>0.8579</w:t>
            </w:r>
          </w:p>
        </w:tc>
      </w:tr>
      <w:tr w:rsidR="00D77DCA" w:rsidRPr="00CC1F61" w14:paraId="11AA7A00" w14:textId="77777777" w:rsidTr="003A33BA">
        <w:trPr>
          <w:trHeight w:val="365"/>
        </w:trPr>
        <w:tc>
          <w:tcPr>
            <w:tcW w:w="0" w:type="auto"/>
            <w:vMerge w:val="restart"/>
            <w:vAlign w:val="center"/>
            <w:hideMark/>
          </w:tcPr>
          <w:p w14:paraId="54936CD2" w14:textId="77777777" w:rsidR="00D77DCA" w:rsidRPr="00D77DCA" w:rsidRDefault="00D77DCA" w:rsidP="00D77DCA">
            <w:pPr>
              <w:pStyle w:val="Heading5"/>
              <w:jc w:val="center"/>
              <w:rPr>
                <w:b w:val="0"/>
                <w:color w:val="000000"/>
                <w:sz w:val="20"/>
                <w:szCs w:val="20"/>
              </w:rPr>
            </w:pPr>
            <w:r w:rsidRPr="00D77DCA">
              <w:rPr>
                <w:b w:val="0"/>
                <w:color w:val="000000"/>
                <w:sz w:val="20"/>
                <w:szCs w:val="20"/>
              </w:rPr>
              <w:t>Non-Fracture</w:t>
            </w:r>
          </w:p>
        </w:tc>
        <w:tc>
          <w:tcPr>
            <w:tcW w:w="0" w:type="auto"/>
            <w:vAlign w:val="center"/>
            <w:hideMark/>
          </w:tcPr>
          <w:p w14:paraId="36C28CC8" w14:textId="77777777" w:rsidR="00D77DCA" w:rsidRPr="00D77DCA" w:rsidRDefault="00D77DCA" w:rsidP="00D77DCA">
            <w:pPr>
              <w:pStyle w:val="Heading5"/>
              <w:jc w:val="center"/>
              <w:rPr>
                <w:b w:val="0"/>
                <w:color w:val="000000"/>
                <w:sz w:val="20"/>
                <w:szCs w:val="20"/>
              </w:rPr>
            </w:pPr>
            <w:r w:rsidRPr="00D77DCA">
              <w:rPr>
                <w:b w:val="0"/>
                <w:color w:val="000000"/>
                <w:sz w:val="20"/>
                <w:szCs w:val="20"/>
              </w:rPr>
              <w:t>90%</w:t>
            </w:r>
          </w:p>
        </w:tc>
        <w:tc>
          <w:tcPr>
            <w:tcW w:w="0" w:type="auto"/>
            <w:vAlign w:val="center"/>
            <w:hideMark/>
          </w:tcPr>
          <w:p w14:paraId="609F9BFC" w14:textId="5D0AE0DD" w:rsidR="00D77DCA" w:rsidRPr="00D77DCA" w:rsidRDefault="00D77DCA" w:rsidP="00D77DCA">
            <w:pPr>
              <w:pStyle w:val="Heading5"/>
              <w:jc w:val="center"/>
              <w:rPr>
                <w:b w:val="0"/>
                <w:color w:val="000000"/>
                <w:sz w:val="20"/>
                <w:szCs w:val="20"/>
              </w:rPr>
            </w:pPr>
            <w:r w:rsidRPr="00D77DCA">
              <w:rPr>
                <w:b w:val="0"/>
                <w:color w:val="000000"/>
                <w:sz w:val="20"/>
                <w:szCs w:val="20"/>
              </w:rPr>
              <w:t>0.6544</w:t>
            </w:r>
          </w:p>
        </w:tc>
        <w:tc>
          <w:tcPr>
            <w:tcW w:w="0" w:type="auto"/>
            <w:vAlign w:val="center"/>
            <w:hideMark/>
          </w:tcPr>
          <w:p w14:paraId="66300FC0" w14:textId="06195AB1" w:rsidR="00D77DCA" w:rsidRPr="00D77DCA" w:rsidRDefault="00D77DCA" w:rsidP="00D77DCA">
            <w:pPr>
              <w:pStyle w:val="Heading5"/>
              <w:jc w:val="center"/>
              <w:rPr>
                <w:b w:val="0"/>
                <w:color w:val="000000"/>
                <w:sz w:val="20"/>
                <w:szCs w:val="20"/>
              </w:rPr>
            </w:pPr>
            <w:r w:rsidRPr="00D77DCA">
              <w:rPr>
                <w:b w:val="0"/>
                <w:color w:val="000000"/>
                <w:sz w:val="20"/>
                <w:szCs w:val="20"/>
              </w:rPr>
              <w:t>0.6437</w:t>
            </w:r>
          </w:p>
        </w:tc>
        <w:tc>
          <w:tcPr>
            <w:tcW w:w="0" w:type="auto"/>
            <w:vAlign w:val="center"/>
            <w:hideMark/>
          </w:tcPr>
          <w:p w14:paraId="5CD92698" w14:textId="16384F4D" w:rsidR="00D77DCA" w:rsidRPr="00D77DCA" w:rsidRDefault="00D77DCA" w:rsidP="00D77DCA">
            <w:pPr>
              <w:pStyle w:val="Heading5"/>
              <w:jc w:val="center"/>
              <w:rPr>
                <w:b w:val="0"/>
                <w:color w:val="000000"/>
                <w:sz w:val="20"/>
                <w:szCs w:val="20"/>
              </w:rPr>
            </w:pPr>
            <w:r w:rsidRPr="00D77DCA">
              <w:rPr>
                <w:b w:val="0"/>
                <w:color w:val="000000"/>
                <w:sz w:val="20"/>
                <w:szCs w:val="20"/>
              </w:rPr>
              <w:t>0.6651</w:t>
            </w:r>
          </w:p>
        </w:tc>
      </w:tr>
      <w:tr w:rsidR="00D77DCA" w:rsidRPr="00CC1F61" w14:paraId="38578722" w14:textId="77777777" w:rsidTr="003A33BA">
        <w:trPr>
          <w:trHeight w:val="109"/>
        </w:trPr>
        <w:tc>
          <w:tcPr>
            <w:tcW w:w="0" w:type="auto"/>
            <w:vMerge/>
            <w:vAlign w:val="center"/>
            <w:hideMark/>
          </w:tcPr>
          <w:p w14:paraId="5417113D" w14:textId="77777777" w:rsidR="00D77DCA" w:rsidRPr="00D77DCA" w:rsidRDefault="00D77DCA" w:rsidP="00D77DCA">
            <w:pPr>
              <w:pStyle w:val="Heading5"/>
              <w:jc w:val="center"/>
              <w:rPr>
                <w:b w:val="0"/>
                <w:color w:val="000000"/>
                <w:sz w:val="20"/>
                <w:szCs w:val="20"/>
              </w:rPr>
            </w:pPr>
          </w:p>
        </w:tc>
        <w:tc>
          <w:tcPr>
            <w:tcW w:w="0" w:type="auto"/>
            <w:vAlign w:val="center"/>
            <w:hideMark/>
          </w:tcPr>
          <w:p w14:paraId="13FD36B1" w14:textId="77777777" w:rsidR="00D77DCA" w:rsidRPr="00D77DCA" w:rsidRDefault="00D77DCA" w:rsidP="00D77DCA">
            <w:pPr>
              <w:pStyle w:val="Heading5"/>
              <w:jc w:val="center"/>
              <w:rPr>
                <w:b w:val="0"/>
                <w:color w:val="000000"/>
                <w:sz w:val="20"/>
                <w:szCs w:val="20"/>
              </w:rPr>
            </w:pPr>
            <w:r w:rsidRPr="00D77DCA">
              <w:rPr>
                <w:b w:val="0"/>
                <w:color w:val="000000"/>
                <w:sz w:val="20"/>
                <w:szCs w:val="20"/>
              </w:rPr>
              <w:t>95%</w:t>
            </w:r>
          </w:p>
        </w:tc>
        <w:tc>
          <w:tcPr>
            <w:tcW w:w="0" w:type="auto"/>
            <w:vAlign w:val="center"/>
            <w:hideMark/>
          </w:tcPr>
          <w:p w14:paraId="7427DC7F" w14:textId="033F2CA3" w:rsidR="00D77DCA" w:rsidRPr="00D77DCA" w:rsidRDefault="00D77DCA" w:rsidP="00D77DCA">
            <w:pPr>
              <w:pStyle w:val="Heading5"/>
              <w:jc w:val="center"/>
              <w:rPr>
                <w:b w:val="0"/>
                <w:color w:val="000000"/>
                <w:sz w:val="20"/>
                <w:szCs w:val="20"/>
              </w:rPr>
            </w:pPr>
            <w:r w:rsidRPr="00D77DCA">
              <w:rPr>
                <w:b w:val="0"/>
                <w:color w:val="000000"/>
                <w:sz w:val="20"/>
                <w:szCs w:val="20"/>
              </w:rPr>
              <w:t>0.6544</w:t>
            </w:r>
          </w:p>
        </w:tc>
        <w:tc>
          <w:tcPr>
            <w:tcW w:w="0" w:type="auto"/>
            <w:vAlign w:val="center"/>
            <w:hideMark/>
          </w:tcPr>
          <w:p w14:paraId="3842D6D1" w14:textId="706E17A8" w:rsidR="00D77DCA" w:rsidRPr="00D77DCA" w:rsidRDefault="00D77DCA" w:rsidP="00D77DCA">
            <w:pPr>
              <w:pStyle w:val="Heading5"/>
              <w:jc w:val="center"/>
              <w:rPr>
                <w:b w:val="0"/>
                <w:color w:val="000000"/>
                <w:sz w:val="20"/>
                <w:szCs w:val="20"/>
              </w:rPr>
            </w:pPr>
            <w:r w:rsidRPr="00D77DCA">
              <w:rPr>
                <w:b w:val="0"/>
                <w:color w:val="000000"/>
                <w:sz w:val="20"/>
                <w:szCs w:val="20"/>
              </w:rPr>
              <w:t>0.6416</w:t>
            </w:r>
          </w:p>
        </w:tc>
        <w:tc>
          <w:tcPr>
            <w:tcW w:w="0" w:type="auto"/>
            <w:vAlign w:val="center"/>
            <w:hideMark/>
          </w:tcPr>
          <w:p w14:paraId="7737F24E" w14:textId="01E7D8ED" w:rsidR="00D77DCA" w:rsidRPr="00D77DCA" w:rsidRDefault="00D77DCA" w:rsidP="00D77DCA">
            <w:pPr>
              <w:pStyle w:val="Heading5"/>
              <w:jc w:val="center"/>
              <w:rPr>
                <w:b w:val="0"/>
                <w:color w:val="000000"/>
                <w:sz w:val="20"/>
                <w:szCs w:val="20"/>
              </w:rPr>
            </w:pPr>
            <w:r w:rsidRPr="00D77DCA">
              <w:rPr>
                <w:b w:val="0"/>
                <w:color w:val="000000"/>
                <w:sz w:val="20"/>
                <w:szCs w:val="20"/>
              </w:rPr>
              <w:t>0.6671</w:t>
            </w:r>
          </w:p>
        </w:tc>
      </w:tr>
      <w:tr w:rsidR="00D77DCA" w:rsidRPr="00CC1F61" w14:paraId="15A4D7B8" w14:textId="77777777" w:rsidTr="003A33BA">
        <w:trPr>
          <w:trHeight w:val="109"/>
        </w:trPr>
        <w:tc>
          <w:tcPr>
            <w:tcW w:w="0" w:type="auto"/>
            <w:vMerge/>
            <w:vAlign w:val="center"/>
            <w:hideMark/>
          </w:tcPr>
          <w:p w14:paraId="10E7F34E" w14:textId="77777777" w:rsidR="00D77DCA" w:rsidRPr="00D77DCA" w:rsidRDefault="00D77DCA" w:rsidP="00D77DCA">
            <w:pPr>
              <w:pStyle w:val="Heading5"/>
              <w:jc w:val="center"/>
              <w:rPr>
                <w:b w:val="0"/>
                <w:color w:val="000000"/>
                <w:sz w:val="20"/>
                <w:szCs w:val="20"/>
              </w:rPr>
            </w:pPr>
          </w:p>
        </w:tc>
        <w:tc>
          <w:tcPr>
            <w:tcW w:w="0" w:type="auto"/>
            <w:vAlign w:val="center"/>
            <w:hideMark/>
          </w:tcPr>
          <w:p w14:paraId="2D6DA38C" w14:textId="77777777" w:rsidR="00D77DCA" w:rsidRPr="00D77DCA" w:rsidRDefault="00D77DCA" w:rsidP="00D77DCA">
            <w:pPr>
              <w:pStyle w:val="Heading5"/>
              <w:jc w:val="center"/>
              <w:rPr>
                <w:b w:val="0"/>
                <w:color w:val="000000"/>
                <w:sz w:val="20"/>
                <w:szCs w:val="20"/>
              </w:rPr>
            </w:pPr>
            <w:r w:rsidRPr="00D77DCA">
              <w:rPr>
                <w:b w:val="0"/>
                <w:color w:val="000000"/>
                <w:sz w:val="20"/>
                <w:szCs w:val="20"/>
              </w:rPr>
              <w:t>99%</w:t>
            </w:r>
          </w:p>
        </w:tc>
        <w:tc>
          <w:tcPr>
            <w:tcW w:w="0" w:type="auto"/>
            <w:vAlign w:val="center"/>
            <w:hideMark/>
          </w:tcPr>
          <w:p w14:paraId="6227EBC7" w14:textId="7D45F1CF" w:rsidR="00D77DCA" w:rsidRPr="00D77DCA" w:rsidRDefault="00D77DCA" w:rsidP="00D77DCA">
            <w:pPr>
              <w:pStyle w:val="Heading5"/>
              <w:jc w:val="center"/>
              <w:rPr>
                <w:b w:val="0"/>
                <w:color w:val="000000"/>
                <w:sz w:val="20"/>
                <w:szCs w:val="20"/>
              </w:rPr>
            </w:pPr>
            <w:r w:rsidRPr="00D77DCA">
              <w:rPr>
                <w:b w:val="0"/>
                <w:color w:val="000000"/>
                <w:sz w:val="20"/>
                <w:szCs w:val="20"/>
              </w:rPr>
              <w:t>0.6544</w:t>
            </w:r>
          </w:p>
        </w:tc>
        <w:tc>
          <w:tcPr>
            <w:tcW w:w="0" w:type="auto"/>
            <w:vAlign w:val="center"/>
            <w:hideMark/>
          </w:tcPr>
          <w:p w14:paraId="308D1ACB" w14:textId="54502E1E" w:rsidR="00D77DCA" w:rsidRPr="00D77DCA" w:rsidRDefault="00D77DCA" w:rsidP="00D77DCA">
            <w:pPr>
              <w:pStyle w:val="Heading5"/>
              <w:jc w:val="center"/>
              <w:rPr>
                <w:b w:val="0"/>
                <w:color w:val="000000"/>
                <w:sz w:val="20"/>
                <w:szCs w:val="20"/>
              </w:rPr>
            </w:pPr>
            <w:r w:rsidRPr="00D77DCA">
              <w:rPr>
                <w:b w:val="0"/>
                <w:color w:val="000000"/>
                <w:sz w:val="20"/>
                <w:szCs w:val="20"/>
              </w:rPr>
              <w:t>0.6376</w:t>
            </w:r>
          </w:p>
        </w:tc>
        <w:tc>
          <w:tcPr>
            <w:tcW w:w="0" w:type="auto"/>
            <w:vAlign w:val="center"/>
            <w:hideMark/>
          </w:tcPr>
          <w:p w14:paraId="3049ADFF" w14:textId="76A1BCF1" w:rsidR="00D77DCA" w:rsidRPr="00D77DCA" w:rsidRDefault="00D77DCA" w:rsidP="00D77DCA">
            <w:pPr>
              <w:pStyle w:val="Heading5"/>
              <w:jc w:val="center"/>
              <w:rPr>
                <w:b w:val="0"/>
                <w:color w:val="000000"/>
                <w:sz w:val="20"/>
                <w:szCs w:val="20"/>
              </w:rPr>
            </w:pPr>
            <w:r w:rsidRPr="00D77DCA">
              <w:rPr>
                <w:b w:val="0"/>
                <w:color w:val="000000"/>
                <w:sz w:val="20"/>
                <w:szCs w:val="20"/>
              </w:rPr>
              <w:t>0.6711</w:t>
            </w:r>
          </w:p>
        </w:tc>
      </w:tr>
    </w:tbl>
    <w:tbl>
      <w:tblPr>
        <w:tblStyle w:val="TableGrid"/>
        <w:tblpPr w:leftFromText="180" w:rightFromText="180" w:vertAnchor="text" w:horzAnchor="page" w:tblpX="6493" w:tblpY="-3724"/>
        <w:tblW w:w="4698" w:type="dxa"/>
        <w:tblLook w:val="04A0" w:firstRow="1" w:lastRow="0" w:firstColumn="1" w:lastColumn="0" w:noHBand="0" w:noVBand="1"/>
      </w:tblPr>
      <w:tblGrid>
        <w:gridCol w:w="1025"/>
        <w:gridCol w:w="1183"/>
        <w:gridCol w:w="766"/>
        <w:gridCol w:w="866"/>
        <w:gridCol w:w="858"/>
      </w:tblGrid>
      <w:tr w:rsidR="003A33BA" w:rsidRPr="00CC1F61" w14:paraId="3F2ECAA2" w14:textId="77777777" w:rsidTr="003A33BA">
        <w:trPr>
          <w:trHeight w:val="481"/>
        </w:trPr>
        <w:tc>
          <w:tcPr>
            <w:tcW w:w="0" w:type="auto"/>
            <w:vAlign w:val="center"/>
            <w:hideMark/>
          </w:tcPr>
          <w:p w14:paraId="53D624B8" w14:textId="77777777" w:rsidR="003A33BA" w:rsidRPr="003A33BA" w:rsidRDefault="003A33BA" w:rsidP="003A33BA">
            <w:pPr>
              <w:pStyle w:val="Heading5"/>
              <w:jc w:val="center"/>
              <w:rPr>
                <w:bCs/>
                <w:color w:val="000000"/>
                <w:sz w:val="20"/>
                <w:szCs w:val="20"/>
              </w:rPr>
            </w:pPr>
            <w:r w:rsidRPr="003A33BA">
              <w:rPr>
                <w:bCs/>
                <w:color w:val="000000"/>
                <w:sz w:val="20"/>
                <w:szCs w:val="20"/>
              </w:rPr>
              <w:t>Group</w:t>
            </w:r>
          </w:p>
        </w:tc>
        <w:tc>
          <w:tcPr>
            <w:tcW w:w="0" w:type="auto"/>
            <w:vAlign w:val="center"/>
            <w:hideMark/>
          </w:tcPr>
          <w:p w14:paraId="594B7F42" w14:textId="77777777" w:rsidR="003A33BA" w:rsidRPr="003A33BA" w:rsidRDefault="003A33BA" w:rsidP="003A33BA">
            <w:pPr>
              <w:pStyle w:val="Heading5"/>
              <w:jc w:val="center"/>
              <w:rPr>
                <w:bCs/>
                <w:color w:val="000000"/>
                <w:sz w:val="20"/>
                <w:szCs w:val="20"/>
              </w:rPr>
            </w:pPr>
            <w:r w:rsidRPr="003A33BA">
              <w:rPr>
                <w:bCs/>
                <w:color w:val="000000"/>
                <w:sz w:val="20"/>
                <w:szCs w:val="20"/>
              </w:rPr>
              <w:t>Confidence</w:t>
            </w:r>
          </w:p>
        </w:tc>
        <w:tc>
          <w:tcPr>
            <w:tcW w:w="0" w:type="auto"/>
            <w:vAlign w:val="center"/>
            <w:hideMark/>
          </w:tcPr>
          <w:p w14:paraId="405DEDB4" w14:textId="77777777" w:rsidR="003A33BA" w:rsidRPr="003A33BA" w:rsidRDefault="003A33BA" w:rsidP="003A33BA">
            <w:pPr>
              <w:pStyle w:val="Heading5"/>
              <w:jc w:val="center"/>
              <w:rPr>
                <w:bCs/>
                <w:color w:val="000000"/>
                <w:sz w:val="20"/>
                <w:szCs w:val="20"/>
              </w:rPr>
            </w:pPr>
            <w:r w:rsidRPr="003A33BA">
              <w:rPr>
                <w:bCs/>
                <w:color w:val="000000"/>
                <w:sz w:val="20"/>
                <w:szCs w:val="20"/>
              </w:rPr>
              <w:t>Mean</w:t>
            </w:r>
          </w:p>
        </w:tc>
        <w:tc>
          <w:tcPr>
            <w:tcW w:w="0" w:type="auto"/>
            <w:vAlign w:val="center"/>
            <w:hideMark/>
          </w:tcPr>
          <w:p w14:paraId="6E74ED5A" w14:textId="77777777" w:rsidR="003A33BA" w:rsidRPr="003A33BA" w:rsidRDefault="003A33BA" w:rsidP="003A33BA">
            <w:pPr>
              <w:pStyle w:val="Heading5"/>
              <w:jc w:val="center"/>
              <w:rPr>
                <w:bCs/>
                <w:color w:val="000000"/>
                <w:sz w:val="20"/>
                <w:szCs w:val="20"/>
              </w:rPr>
            </w:pPr>
            <w:r w:rsidRPr="003A33BA">
              <w:rPr>
                <w:bCs/>
                <w:color w:val="000000"/>
                <w:sz w:val="20"/>
                <w:szCs w:val="20"/>
              </w:rPr>
              <w:t>CI Lower</w:t>
            </w:r>
          </w:p>
        </w:tc>
        <w:tc>
          <w:tcPr>
            <w:tcW w:w="0" w:type="auto"/>
            <w:vAlign w:val="center"/>
            <w:hideMark/>
          </w:tcPr>
          <w:p w14:paraId="16C2832B" w14:textId="77777777" w:rsidR="003A33BA" w:rsidRPr="003A33BA" w:rsidRDefault="003A33BA" w:rsidP="003A33BA">
            <w:pPr>
              <w:pStyle w:val="Heading5"/>
              <w:jc w:val="center"/>
              <w:rPr>
                <w:bCs/>
                <w:color w:val="000000"/>
                <w:sz w:val="20"/>
                <w:szCs w:val="20"/>
              </w:rPr>
            </w:pPr>
            <w:r w:rsidRPr="003A33BA">
              <w:rPr>
                <w:bCs/>
                <w:color w:val="000000"/>
                <w:sz w:val="20"/>
                <w:szCs w:val="20"/>
              </w:rPr>
              <w:t>CI Upper</w:t>
            </w:r>
          </w:p>
        </w:tc>
      </w:tr>
      <w:tr w:rsidR="003A33BA" w:rsidRPr="00CC1F61" w14:paraId="23039E00" w14:textId="77777777" w:rsidTr="003A33BA">
        <w:trPr>
          <w:trHeight w:val="470"/>
        </w:trPr>
        <w:tc>
          <w:tcPr>
            <w:tcW w:w="0" w:type="auto"/>
            <w:vMerge w:val="restart"/>
            <w:vAlign w:val="center"/>
            <w:hideMark/>
          </w:tcPr>
          <w:p w14:paraId="012083AB" w14:textId="77777777" w:rsidR="003A33BA" w:rsidRPr="003A33BA" w:rsidRDefault="003A33BA" w:rsidP="003A33BA">
            <w:pPr>
              <w:pStyle w:val="Heading5"/>
              <w:jc w:val="center"/>
              <w:rPr>
                <w:b w:val="0"/>
                <w:color w:val="000000"/>
                <w:sz w:val="20"/>
                <w:szCs w:val="20"/>
              </w:rPr>
            </w:pPr>
            <w:r w:rsidRPr="003A33BA">
              <w:rPr>
                <w:b w:val="0"/>
                <w:color w:val="000000"/>
                <w:sz w:val="20"/>
                <w:szCs w:val="20"/>
              </w:rPr>
              <w:t>Fracture</w:t>
            </w:r>
          </w:p>
        </w:tc>
        <w:tc>
          <w:tcPr>
            <w:tcW w:w="0" w:type="auto"/>
            <w:vAlign w:val="center"/>
            <w:hideMark/>
          </w:tcPr>
          <w:p w14:paraId="5767F04A" w14:textId="77777777" w:rsidR="003A33BA" w:rsidRPr="003A33BA" w:rsidRDefault="003A33BA" w:rsidP="003A33BA">
            <w:pPr>
              <w:pStyle w:val="Heading5"/>
              <w:jc w:val="center"/>
              <w:rPr>
                <w:b w:val="0"/>
                <w:color w:val="000000"/>
                <w:sz w:val="20"/>
                <w:szCs w:val="20"/>
              </w:rPr>
            </w:pPr>
            <w:r w:rsidRPr="003A33BA">
              <w:rPr>
                <w:b w:val="0"/>
                <w:color w:val="000000"/>
                <w:sz w:val="20"/>
                <w:szCs w:val="20"/>
              </w:rPr>
              <w:t>90%</w:t>
            </w:r>
          </w:p>
        </w:tc>
        <w:tc>
          <w:tcPr>
            <w:tcW w:w="0" w:type="auto"/>
            <w:vAlign w:val="center"/>
            <w:hideMark/>
          </w:tcPr>
          <w:p w14:paraId="497A376D"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0.8757</w:t>
            </w:r>
          </w:p>
        </w:tc>
        <w:tc>
          <w:tcPr>
            <w:tcW w:w="0" w:type="auto"/>
            <w:vAlign w:val="center"/>
            <w:hideMark/>
          </w:tcPr>
          <w:p w14:paraId="70AD2F28"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0.8695</w:t>
            </w:r>
          </w:p>
        </w:tc>
        <w:tc>
          <w:tcPr>
            <w:tcW w:w="0" w:type="auto"/>
            <w:vAlign w:val="center"/>
            <w:hideMark/>
          </w:tcPr>
          <w:p w14:paraId="3EF6F436"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0.8819</w:t>
            </w:r>
          </w:p>
        </w:tc>
      </w:tr>
      <w:tr w:rsidR="003A33BA" w:rsidRPr="00CC1F61" w14:paraId="31A5223A" w14:textId="77777777" w:rsidTr="003A33BA">
        <w:trPr>
          <w:trHeight w:val="141"/>
        </w:trPr>
        <w:tc>
          <w:tcPr>
            <w:tcW w:w="0" w:type="auto"/>
            <w:vMerge/>
            <w:vAlign w:val="center"/>
            <w:hideMark/>
          </w:tcPr>
          <w:p w14:paraId="5CD12C6E" w14:textId="77777777" w:rsidR="003A33BA" w:rsidRPr="003A33BA" w:rsidRDefault="003A33BA" w:rsidP="003A33BA">
            <w:pPr>
              <w:pStyle w:val="Heading5"/>
              <w:jc w:val="center"/>
              <w:rPr>
                <w:b w:val="0"/>
                <w:color w:val="000000"/>
                <w:sz w:val="20"/>
                <w:szCs w:val="20"/>
              </w:rPr>
            </w:pPr>
          </w:p>
        </w:tc>
        <w:tc>
          <w:tcPr>
            <w:tcW w:w="0" w:type="auto"/>
            <w:vAlign w:val="center"/>
            <w:hideMark/>
          </w:tcPr>
          <w:p w14:paraId="5FA26E45" w14:textId="77777777" w:rsidR="003A33BA" w:rsidRPr="003A33BA" w:rsidRDefault="003A33BA" w:rsidP="003A33BA">
            <w:pPr>
              <w:pStyle w:val="Heading5"/>
              <w:jc w:val="center"/>
              <w:rPr>
                <w:b w:val="0"/>
                <w:color w:val="000000"/>
                <w:sz w:val="20"/>
                <w:szCs w:val="20"/>
              </w:rPr>
            </w:pPr>
            <w:r w:rsidRPr="003A33BA">
              <w:rPr>
                <w:b w:val="0"/>
                <w:color w:val="000000"/>
                <w:sz w:val="20"/>
                <w:szCs w:val="20"/>
              </w:rPr>
              <w:t>95%</w:t>
            </w:r>
          </w:p>
        </w:tc>
        <w:tc>
          <w:tcPr>
            <w:tcW w:w="0" w:type="auto"/>
            <w:vAlign w:val="center"/>
            <w:hideMark/>
          </w:tcPr>
          <w:p w14:paraId="756D45FF"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0.8757</w:t>
            </w:r>
          </w:p>
        </w:tc>
        <w:tc>
          <w:tcPr>
            <w:tcW w:w="0" w:type="auto"/>
            <w:vAlign w:val="center"/>
            <w:hideMark/>
          </w:tcPr>
          <w:p w14:paraId="7C234E48"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0.8684</w:t>
            </w:r>
          </w:p>
        </w:tc>
        <w:tc>
          <w:tcPr>
            <w:tcW w:w="0" w:type="auto"/>
            <w:vAlign w:val="center"/>
            <w:hideMark/>
          </w:tcPr>
          <w:p w14:paraId="717F09BA"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0.8831</w:t>
            </w:r>
          </w:p>
        </w:tc>
      </w:tr>
      <w:tr w:rsidR="003A33BA" w:rsidRPr="00CC1F61" w14:paraId="05573D3E" w14:textId="77777777" w:rsidTr="003A33BA">
        <w:trPr>
          <w:trHeight w:val="141"/>
        </w:trPr>
        <w:tc>
          <w:tcPr>
            <w:tcW w:w="0" w:type="auto"/>
            <w:vMerge/>
            <w:vAlign w:val="center"/>
            <w:hideMark/>
          </w:tcPr>
          <w:p w14:paraId="271ED613" w14:textId="77777777" w:rsidR="003A33BA" w:rsidRPr="003A33BA" w:rsidRDefault="003A33BA" w:rsidP="003A33BA">
            <w:pPr>
              <w:pStyle w:val="Heading5"/>
              <w:jc w:val="center"/>
              <w:rPr>
                <w:b w:val="0"/>
                <w:color w:val="000000"/>
                <w:sz w:val="20"/>
                <w:szCs w:val="20"/>
              </w:rPr>
            </w:pPr>
          </w:p>
        </w:tc>
        <w:tc>
          <w:tcPr>
            <w:tcW w:w="0" w:type="auto"/>
            <w:vAlign w:val="center"/>
            <w:hideMark/>
          </w:tcPr>
          <w:p w14:paraId="650769EC" w14:textId="77777777" w:rsidR="003A33BA" w:rsidRPr="003A33BA" w:rsidRDefault="003A33BA" w:rsidP="003A33BA">
            <w:pPr>
              <w:pStyle w:val="Heading5"/>
              <w:jc w:val="center"/>
              <w:rPr>
                <w:b w:val="0"/>
                <w:color w:val="000000"/>
                <w:sz w:val="20"/>
                <w:szCs w:val="20"/>
              </w:rPr>
            </w:pPr>
            <w:r w:rsidRPr="003A33BA">
              <w:rPr>
                <w:b w:val="0"/>
                <w:color w:val="000000"/>
                <w:sz w:val="20"/>
                <w:szCs w:val="20"/>
              </w:rPr>
              <w:t>99%</w:t>
            </w:r>
          </w:p>
        </w:tc>
        <w:tc>
          <w:tcPr>
            <w:tcW w:w="0" w:type="auto"/>
            <w:vAlign w:val="center"/>
            <w:hideMark/>
          </w:tcPr>
          <w:p w14:paraId="68776676"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0.8757</w:t>
            </w:r>
          </w:p>
        </w:tc>
        <w:tc>
          <w:tcPr>
            <w:tcW w:w="0" w:type="auto"/>
            <w:vAlign w:val="center"/>
            <w:hideMark/>
          </w:tcPr>
          <w:p w14:paraId="47A2B401"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0.8661</w:t>
            </w:r>
          </w:p>
        </w:tc>
        <w:tc>
          <w:tcPr>
            <w:tcW w:w="0" w:type="auto"/>
            <w:vAlign w:val="center"/>
            <w:hideMark/>
          </w:tcPr>
          <w:p w14:paraId="47E05CDC" w14:textId="77777777" w:rsidR="003A33BA" w:rsidRPr="003A33BA" w:rsidRDefault="003A33BA" w:rsidP="003A33BA">
            <w:pPr>
              <w:pStyle w:val="Heading5"/>
              <w:jc w:val="center"/>
              <w:rPr>
                <w:b w:val="0"/>
                <w:color w:val="000000"/>
                <w:sz w:val="20"/>
                <w:szCs w:val="20"/>
              </w:rPr>
            </w:pPr>
            <w:r w:rsidRPr="003A33BA">
              <w:rPr>
                <w:b w:val="0"/>
                <w:color w:val="000000"/>
                <w:sz w:val="20"/>
                <w:szCs w:val="20"/>
              </w:rPr>
              <w:t>0.8854</w:t>
            </w:r>
          </w:p>
        </w:tc>
      </w:tr>
      <w:tr w:rsidR="003A33BA" w:rsidRPr="00CC1F61" w14:paraId="36DCDF9D" w14:textId="77777777" w:rsidTr="003A33BA">
        <w:trPr>
          <w:trHeight w:val="470"/>
        </w:trPr>
        <w:tc>
          <w:tcPr>
            <w:tcW w:w="0" w:type="auto"/>
            <w:vMerge w:val="restart"/>
            <w:vAlign w:val="center"/>
            <w:hideMark/>
          </w:tcPr>
          <w:p w14:paraId="7ED5146A" w14:textId="77777777" w:rsidR="003A33BA" w:rsidRPr="003A33BA" w:rsidRDefault="003A33BA" w:rsidP="003A33BA">
            <w:pPr>
              <w:pStyle w:val="Heading5"/>
              <w:jc w:val="center"/>
              <w:rPr>
                <w:b w:val="0"/>
                <w:color w:val="000000"/>
                <w:sz w:val="20"/>
                <w:szCs w:val="20"/>
              </w:rPr>
            </w:pPr>
            <w:r w:rsidRPr="003A33BA">
              <w:rPr>
                <w:b w:val="0"/>
                <w:color w:val="000000"/>
                <w:sz w:val="20"/>
                <w:szCs w:val="20"/>
              </w:rPr>
              <w:t>Non-Fracture</w:t>
            </w:r>
          </w:p>
        </w:tc>
        <w:tc>
          <w:tcPr>
            <w:tcW w:w="0" w:type="auto"/>
            <w:vAlign w:val="center"/>
            <w:hideMark/>
          </w:tcPr>
          <w:p w14:paraId="4F7D1CBE" w14:textId="77777777" w:rsidR="003A33BA" w:rsidRPr="003A33BA" w:rsidRDefault="003A33BA" w:rsidP="003A33BA">
            <w:pPr>
              <w:pStyle w:val="Heading5"/>
              <w:jc w:val="center"/>
              <w:rPr>
                <w:b w:val="0"/>
                <w:color w:val="000000"/>
                <w:sz w:val="20"/>
                <w:szCs w:val="20"/>
              </w:rPr>
            </w:pPr>
            <w:r w:rsidRPr="003A33BA">
              <w:rPr>
                <w:b w:val="0"/>
                <w:color w:val="000000"/>
                <w:sz w:val="20"/>
                <w:szCs w:val="20"/>
              </w:rPr>
              <w:t>90%</w:t>
            </w:r>
          </w:p>
        </w:tc>
        <w:tc>
          <w:tcPr>
            <w:tcW w:w="0" w:type="auto"/>
            <w:vAlign w:val="center"/>
            <w:hideMark/>
          </w:tcPr>
          <w:p w14:paraId="0DC49725"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0.6343</w:t>
            </w:r>
          </w:p>
        </w:tc>
        <w:tc>
          <w:tcPr>
            <w:tcW w:w="0" w:type="auto"/>
            <w:vAlign w:val="center"/>
            <w:hideMark/>
          </w:tcPr>
          <w:p w14:paraId="49E70C0E"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0.6242</w:t>
            </w:r>
          </w:p>
        </w:tc>
        <w:tc>
          <w:tcPr>
            <w:tcW w:w="0" w:type="auto"/>
            <w:vAlign w:val="center"/>
            <w:hideMark/>
          </w:tcPr>
          <w:p w14:paraId="3FC655F8"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0.6444</w:t>
            </w:r>
          </w:p>
        </w:tc>
      </w:tr>
      <w:tr w:rsidR="003A33BA" w:rsidRPr="00CC1F61" w14:paraId="42D148B2" w14:textId="77777777" w:rsidTr="003A33BA">
        <w:trPr>
          <w:trHeight w:val="481"/>
        </w:trPr>
        <w:tc>
          <w:tcPr>
            <w:tcW w:w="0" w:type="auto"/>
            <w:vMerge/>
            <w:vAlign w:val="center"/>
            <w:hideMark/>
          </w:tcPr>
          <w:p w14:paraId="527B5FAD" w14:textId="77777777" w:rsidR="003A33BA" w:rsidRPr="003A33BA" w:rsidRDefault="003A33BA" w:rsidP="003A33BA">
            <w:pPr>
              <w:pStyle w:val="Heading5"/>
              <w:jc w:val="center"/>
              <w:rPr>
                <w:b w:val="0"/>
                <w:color w:val="000000"/>
                <w:sz w:val="20"/>
                <w:szCs w:val="20"/>
              </w:rPr>
            </w:pPr>
          </w:p>
        </w:tc>
        <w:tc>
          <w:tcPr>
            <w:tcW w:w="0" w:type="auto"/>
            <w:vAlign w:val="center"/>
            <w:hideMark/>
          </w:tcPr>
          <w:p w14:paraId="6212614A" w14:textId="77777777" w:rsidR="003A33BA" w:rsidRPr="003A33BA" w:rsidRDefault="003A33BA" w:rsidP="003A33BA">
            <w:pPr>
              <w:pStyle w:val="Heading5"/>
              <w:jc w:val="center"/>
              <w:rPr>
                <w:b w:val="0"/>
                <w:color w:val="000000"/>
                <w:sz w:val="20"/>
                <w:szCs w:val="20"/>
              </w:rPr>
            </w:pPr>
            <w:r w:rsidRPr="003A33BA">
              <w:rPr>
                <w:b w:val="0"/>
                <w:color w:val="000000"/>
                <w:sz w:val="20"/>
                <w:szCs w:val="20"/>
              </w:rPr>
              <w:t>95%</w:t>
            </w:r>
          </w:p>
        </w:tc>
        <w:tc>
          <w:tcPr>
            <w:tcW w:w="0" w:type="auto"/>
            <w:vAlign w:val="center"/>
            <w:hideMark/>
          </w:tcPr>
          <w:p w14:paraId="762B2DDE"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0.6343</w:t>
            </w:r>
          </w:p>
        </w:tc>
        <w:tc>
          <w:tcPr>
            <w:tcW w:w="0" w:type="auto"/>
            <w:vAlign w:val="center"/>
            <w:hideMark/>
          </w:tcPr>
          <w:p w14:paraId="718BA39E"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0.6223</w:t>
            </w:r>
          </w:p>
        </w:tc>
        <w:tc>
          <w:tcPr>
            <w:tcW w:w="0" w:type="auto"/>
            <w:vAlign w:val="center"/>
            <w:hideMark/>
          </w:tcPr>
          <w:p w14:paraId="1510DBE9"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0.6463</w:t>
            </w:r>
          </w:p>
        </w:tc>
      </w:tr>
      <w:tr w:rsidR="003A33BA" w:rsidRPr="00CC1F61" w14:paraId="3D252964" w14:textId="77777777" w:rsidTr="003A33BA">
        <w:trPr>
          <w:trHeight w:val="481"/>
        </w:trPr>
        <w:tc>
          <w:tcPr>
            <w:tcW w:w="0" w:type="auto"/>
            <w:vMerge/>
            <w:vAlign w:val="center"/>
            <w:hideMark/>
          </w:tcPr>
          <w:p w14:paraId="71DEA057" w14:textId="77777777" w:rsidR="003A33BA" w:rsidRPr="003A33BA" w:rsidRDefault="003A33BA" w:rsidP="003A33BA">
            <w:pPr>
              <w:pStyle w:val="Heading5"/>
              <w:jc w:val="center"/>
              <w:rPr>
                <w:b w:val="0"/>
                <w:color w:val="000000"/>
                <w:sz w:val="20"/>
                <w:szCs w:val="20"/>
              </w:rPr>
            </w:pPr>
          </w:p>
        </w:tc>
        <w:tc>
          <w:tcPr>
            <w:tcW w:w="0" w:type="auto"/>
            <w:vAlign w:val="center"/>
            <w:hideMark/>
          </w:tcPr>
          <w:p w14:paraId="04BA14FB" w14:textId="77777777" w:rsidR="003A33BA" w:rsidRPr="003A33BA" w:rsidRDefault="003A33BA" w:rsidP="003A33BA">
            <w:pPr>
              <w:pStyle w:val="Heading5"/>
              <w:jc w:val="center"/>
              <w:rPr>
                <w:b w:val="0"/>
                <w:color w:val="000000"/>
                <w:sz w:val="20"/>
                <w:szCs w:val="20"/>
              </w:rPr>
            </w:pPr>
            <w:r w:rsidRPr="003A33BA">
              <w:rPr>
                <w:b w:val="0"/>
                <w:color w:val="000000"/>
                <w:sz w:val="20"/>
                <w:szCs w:val="20"/>
              </w:rPr>
              <w:t>99%</w:t>
            </w:r>
          </w:p>
        </w:tc>
        <w:tc>
          <w:tcPr>
            <w:tcW w:w="0" w:type="auto"/>
            <w:vAlign w:val="center"/>
            <w:hideMark/>
          </w:tcPr>
          <w:p w14:paraId="71C39FE5"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0.6343</w:t>
            </w:r>
          </w:p>
        </w:tc>
        <w:tc>
          <w:tcPr>
            <w:tcW w:w="0" w:type="auto"/>
            <w:vAlign w:val="center"/>
            <w:hideMark/>
          </w:tcPr>
          <w:p w14:paraId="78DA15AA"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0.6185</w:t>
            </w:r>
          </w:p>
        </w:tc>
        <w:tc>
          <w:tcPr>
            <w:tcW w:w="0" w:type="auto"/>
            <w:vAlign w:val="center"/>
            <w:hideMark/>
          </w:tcPr>
          <w:p w14:paraId="617E162A" w14:textId="77777777" w:rsidR="003A33BA" w:rsidRPr="003A33BA" w:rsidRDefault="003A33BA" w:rsidP="003A33BA">
            <w:pPr>
              <w:pStyle w:val="Heading5"/>
              <w:jc w:val="center"/>
              <w:rPr>
                <w:b w:val="0"/>
                <w:color w:val="000000"/>
                <w:sz w:val="20"/>
                <w:szCs w:val="20"/>
              </w:rPr>
            </w:pPr>
            <w:r w:rsidRPr="003A33BA">
              <w:rPr>
                <w:b w:val="0"/>
                <w:color w:val="000000"/>
                <w:sz w:val="20"/>
                <w:szCs w:val="20"/>
              </w:rPr>
              <w:t>0.6501</w:t>
            </w:r>
          </w:p>
        </w:tc>
      </w:tr>
    </w:tbl>
    <w:p w14:paraId="484B4926" w14:textId="77777777" w:rsidR="003F29F4" w:rsidRDefault="003F29F4" w:rsidP="003A33BA">
      <w:pPr>
        <w:pStyle w:val="Caption"/>
        <w:keepNext/>
        <w:rPr>
          <w:rFonts w:ascii="Times New Roman" w:hAnsi="Times New Roman"/>
          <w:b/>
          <w:bCs/>
          <w:i w:val="0"/>
          <w:iCs w:val="0"/>
          <w:color w:val="000000" w:themeColor="text1"/>
          <w:sz w:val="20"/>
          <w:szCs w:val="20"/>
        </w:rPr>
      </w:pPr>
    </w:p>
    <w:p w14:paraId="280DCFEA" w14:textId="620DF9FB" w:rsidR="003F29F4" w:rsidRDefault="003A33BA" w:rsidP="003A33BA">
      <w:pPr>
        <w:pStyle w:val="Caption"/>
        <w:keepNext/>
        <w:rPr>
          <w:rFonts w:ascii="Times New Roman" w:hAnsi="Times New Roman"/>
          <w:i w:val="0"/>
          <w:iCs w:val="0"/>
          <w:color w:val="000000" w:themeColor="text1"/>
          <w:sz w:val="20"/>
          <w:szCs w:val="20"/>
        </w:rPr>
      </w:pPr>
      <w:r w:rsidRPr="003A33BA">
        <w:rPr>
          <w:rFonts w:ascii="Times New Roman" w:hAnsi="Times New Roman"/>
          <w:b/>
          <w:bCs/>
          <w:i w:val="0"/>
          <w:iCs w:val="0"/>
          <w:color w:val="000000" w:themeColor="text1"/>
          <w:sz w:val="20"/>
          <w:szCs w:val="20"/>
        </w:rPr>
        <w:t xml:space="preserve">Table </w:t>
      </w:r>
      <w:r w:rsidRPr="003A33BA">
        <w:rPr>
          <w:rFonts w:ascii="Times New Roman" w:hAnsi="Times New Roman"/>
          <w:b/>
          <w:bCs/>
          <w:i w:val="0"/>
          <w:iCs w:val="0"/>
          <w:color w:val="000000" w:themeColor="text1"/>
          <w:sz w:val="20"/>
          <w:szCs w:val="20"/>
        </w:rPr>
        <w:fldChar w:fldCharType="begin"/>
      </w:r>
      <w:r w:rsidRPr="003A33BA">
        <w:rPr>
          <w:rFonts w:ascii="Times New Roman" w:hAnsi="Times New Roman"/>
          <w:b/>
          <w:bCs/>
          <w:i w:val="0"/>
          <w:iCs w:val="0"/>
          <w:color w:val="000000" w:themeColor="text1"/>
          <w:sz w:val="20"/>
          <w:szCs w:val="20"/>
        </w:rPr>
        <w:instrText xml:space="preserve"> SEQ Table \* ARABIC </w:instrText>
      </w:r>
      <w:r w:rsidRPr="003A33BA">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4</w:t>
      </w:r>
      <w:r w:rsidRPr="003A33BA">
        <w:rPr>
          <w:rFonts w:ascii="Times New Roman" w:hAnsi="Times New Roman"/>
          <w:b/>
          <w:bCs/>
          <w:i w:val="0"/>
          <w:iCs w:val="0"/>
          <w:color w:val="000000" w:themeColor="text1"/>
          <w:sz w:val="20"/>
          <w:szCs w:val="20"/>
        </w:rPr>
        <w:fldChar w:fldCharType="end"/>
      </w:r>
      <w:r w:rsidRPr="003A33BA">
        <w:rPr>
          <w:rFonts w:ascii="Times New Roman" w:hAnsi="Times New Roman"/>
          <w:b/>
          <w:bCs/>
          <w:i w:val="0"/>
          <w:iCs w:val="0"/>
          <w:color w:val="000000" w:themeColor="text1"/>
          <w:sz w:val="20"/>
          <w:szCs w:val="20"/>
        </w:rPr>
        <w:t xml:space="preserve">. </w:t>
      </w:r>
      <w:r w:rsidRPr="003A33BA">
        <w:rPr>
          <w:rFonts w:ascii="Times New Roman" w:hAnsi="Times New Roman"/>
          <w:i w:val="0"/>
          <w:iCs w:val="0"/>
          <w:color w:val="000000" w:themeColor="text1"/>
          <w:sz w:val="20"/>
          <w:szCs w:val="20"/>
        </w:rPr>
        <w:t>InceptionV3 Confidence Interval Results</w:t>
      </w:r>
      <w:r>
        <w:rPr>
          <w:rFonts w:ascii="Times New Roman" w:hAnsi="Times New Roman"/>
          <w:i w:val="0"/>
          <w:iCs w:val="0"/>
          <w:color w:val="000000" w:themeColor="text1"/>
          <w:sz w:val="20"/>
          <w:szCs w:val="20"/>
        </w:rPr>
        <w:t xml:space="preserve">                      </w:t>
      </w:r>
      <w:r w:rsidR="003F29F4" w:rsidRPr="003A33BA">
        <w:rPr>
          <w:rFonts w:ascii="Times New Roman" w:hAnsi="Times New Roman"/>
          <w:b/>
          <w:bCs/>
          <w:i w:val="0"/>
          <w:iCs w:val="0"/>
          <w:color w:val="000000" w:themeColor="text1"/>
          <w:sz w:val="20"/>
          <w:szCs w:val="20"/>
        </w:rPr>
        <w:t xml:space="preserve">Table </w:t>
      </w:r>
      <w:r w:rsidR="003F29F4" w:rsidRPr="003A33BA">
        <w:rPr>
          <w:rFonts w:ascii="Times New Roman" w:hAnsi="Times New Roman"/>
          <w:b/>
          <w:bCs/>
          <w:i w:val="0"/>
          <w:iCs w:val="0"/>
          <w:color w:val="000000" w:themeColor="text1"/>
          <w:sz w:val="20"/>
          <w:szCs w:val="20"/>
        </w:rPr>
        <w:fldChar w:fldCharType="begin"/>
      </w:r>
      <w:r w:rsidR="003F29F4" w:rsidRPr="003A33BA">
        <w:rPr>
          <w:rFonts w:ascii="Times New Roman" w:hAnsi="Times New Roman"/>
          <w:b/>
          <w:bCs/>
          <w:i w:val="0"/>
          <w:iCs w:val="0"/>
          <w:color w:val="000000" w:themeColor="text1"/>
          <w:sz w:val="20"/>
          <w:szCs w:val="20"/>
        </w:rPr>
        <w:instrText xml:space="preserve"> SEQ Table \* ARABIC </w:instrText>
      </w:r>
      <w:r w:rsidR="003F29F4" w:rsidRPr="003A33BA">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5</w:t>
      </w:r>
      <w:r w:rsidR="003F29F4" w:rsidRPr="003A33BA">
        <w:rPr>
          <w:rFonts w:ascii="Times New Roman" w:hAnsi="Times New Roman"/>
          <w:b/>
          <w:bCs/>
          <w:i w:val="0"/>
          <w:iCs w:val="0"/>
          <w:color w:val="000000" w:themeColor="text1"/>
          <w:sz w:val="20"/>
          <w:szCs w:val="20"/>
        </w:rPr>
        <w:fldChar w:fldCharType="end"/>
      </w:r>
      <w:r w:rsidR="003F29F4" w:rsidRPr="003A33BA">
        <w:rPr>
          <w:rFonts w:ascii="Times New Roman" w:hAnsi="Times New Roman"/>
          <w:b/>
          <w:bCs/>
          <w:i w:val="0"/>
          <w:iCs w:val="0"/>
          <w:color w:val="000000" w:themeColor="text1"/>
          <w:sz w:val="20"/>
          <w:szCs w:val="20"/>
        </w:rPr>
        <w:t xml:space="preserve">. </w:t>
      </w:r>
      <w:r w:rsidR="003F29F4" w:rsidRPr="003A33BA">
        <w:rPr>
          <w:rFonts w:ascii="Times New Roman" w:hAnsi="Times New Roman"/>
          <w:i w:val="0"/>
          <w:iCs w:val="0"/>
          <w:color w:val="000000" w:themeColor="text1"/>
          <w:sz w:val="20"/>
          <w:szCs w:val="20"/>
        </w:rPr>
        <w:t xml:space="preserve">CNN </w:t>
      </w:r>
      <w:r w:rsidR="003F29F4">
        <w:rPr>
          <w:rFonts w:ascii="Times New Roman" w:hAnsi="Times New Roman"/>
          <w:i w:val="0"/>
          <w:iCs w:val="0"/>
          <w:color w:val="000000" w:themeColor="text1"/>
          <w:sz w:val="20"/>
          <w:szCs w:val="20"/>
        </w:rPr>
        <w:t>Confidence</w:t>
      </w:r>
      <w:r w:rsidR="003F29F4" w:rsidRPr="003A33BA">
        <w:rPr>
          <w:rFonts w:ascii="Times New Roman" w:hAnsi="Times New Roman"/>
          <w:i w:val="0"/>
          <w:iCs w:val="0"/>
          <w:color w:val="000000" w:themeColor="text1"/>
          <w:sz w:val="20"/>
          <w:szCs w:val="20"/>
        </w:rPr>
        <w:t xml:space="preserve"> Interval Results</w:t>
      </w:r>
    </w:p>
    <w:tbl>
      <w:tblPr>
        <w:tblStyle w:val="TableGrid"/>
        <w:tblpPr w:leftFromText="180" w:rightFromText="180" w:vertAnchor="text" w:horzAnchor="margin" w:tblpY="99"/>
        <w:tblW w:w="4732" w:type="dxa"/>
        <w:tblLook w:val="04A0" w:firstRow="1" w:lastRow="0" w:firstColumn="1" w:lastColumn="0" w:noHBand="0" w:noVBand="1"/>
      </w:tblPr>
      <w:tblGrid>
        <w:gridCol w:w="1039"/>
        <w:gridCol w:w="1183"/>
        <w:gridCol w:w="766"/>
        <w:gridCol w:w="876"/>
        <w:gridCol w:w="868"/>
      </w:tblGrid>
      <w:tr w:rsidR="003F29F4" w:rsidRPr="00CC1F61" w14:paraId="45D45688" w14:textId="77777777" w:rsidTr="003F29F4">
        <w:trPr>
          <w:trHeight w:val="491"/>
        </w:trPr>
        <w:tc>
          <w:tcPr>
            <w:tcW w:w="0" w:type="auto"/>
            <w:vAlign w:val="center"/>
            <w:hideMark/>
          </w:tcPr>
          <w:p w14:paraId="60C6BB78" w14:textId="77777777" w:rsidR="003F29F4" w:rsidRPr="003A33BA" w:rsidRDefault="003F29F4" w:rsidP="003F29F4">
            <w:pPr>
              <w:pStyle w:val="Heading5"/>
              <w:jc w:val="center"/>
              <w:rPr>
                <w:bCs/>
                <w:color w:val="000000" w:themeColor="text1"/>
                <w:sz w:val="20"/>
                <w:szCs w:val="20"/>
              </w:rPr>
            </w:pPr>
            <w:r w:rsidRPr="003A33BA">
              <w:rPr>
                <w:bCs/>
                <w:color w:val="000000" w:themeColor="text1"/>
                <w:sz w:val="20"/>
                <w:szCs w:val="20"/>
              </w:rPr>
              <w:t>Group</w:t>
            </w:r>
          </w:p>
        </w:tc>
        <w:tc>
          <w:tcPr>
            <w:tcW w:w="0" w:type="auto"/>
            <w:vAlign w:val="center"/>
            <w:hideMark/>
          </w:tcPr>
          <w:p w14:paraId="4312D658" w14:textId="77777777" w:rsidR="003F29F4" w:rsidRPr="003A33BA" w:rsidRDefault="003F29F4" w:rsidP="003F29F4">
            <w:pPr>
              <w:pStyle w:val="Heading5"/>
              <w:jc w:val="center"/>
              <w:rPr>
                <w:bCs/>
                <w:color w:val="000000" w:themeColor="text1"/>
                <w:sz w:val="20"/>
                <w:szCs w:val="20"/>
              </w:rPr>
            </w:pPr>
            <w:r w:rsidRPr="003A33BA">
              <w:rPr>
                <w:bCs/>
                <w:color w:val="000000" w:themeColor="text1"/>
                <w:sz w:val="20"/>
                <w:szCs w:val="20"/>
              </w:rPr>
              <w:t>Confidence</w:t>
            </w:r>
          </w:p>
        </w:tc>
        <w:tc>
          <w:tcPr>
            <w:tcW w:w="0" w:type="auto"/>
            <w:vAlign w:val="center"/>
            <w:hideMark/>
          </w:tcPr>
          <w:p w14:paraId="44B5B48D" w14:textId="77777777" w:rsidR="003F29F4" w:rsidRPr="003A33BA" w:rsidRDefault="003F29F4" w:rsidP="003F29F4">
            <w:pPr>
              <w:pStyle w:val="Heading5"/>
              <w:jc w:val="center"/>
              <w:rPr>
                <w:bCs/>
                <w:color w:val="000000" w:themeColor="text1"/>
                <w:sz w:val="20"/>
                <w:szCs w:val="20"/>
              </w:rPr>
            </w:pPr>
            <w:r w:rsidRPr="003A33BA">
              <w:rPr>
                <w:bCs/>
                <w:color w:val="000000" w:themeColor="text1"/>
                <w:sz w:val="20"/>
                <w:szCs w:val="20"/>
              </w:rPr>
              <w:t>Mean</w:t>
            </w:r>
          </w:p>
        </w:tc>
        <w:tc>
          <w:tcPr>
            <w:tcW w:w="0" w:type="auto"/>
            <w:vAlign w:val="center"/>
            <w:hideMark/>
          </w:tcPr>
          <w:p w14:paraId="09DC631D" w14:textId="77777777" w:rsidR="003F29F4" w:rsidRPr="003A33BA" w:rsidRDefault="003F29F4" w:rsidP="003F29F4">
            <w:pPr>
              <w:pStyle w:val="Heading5"/>
              <w:jc w:val="center"/>
              <w:rPr>
                <w:bCs/>
                <w:color w:val="000000" w:themeColor="text1"/>
                <w:sz w:val="20"/>
                <w:szCs w:val="20"/>
              </w:rPr>
            </w:pPr>
            <w:r w:rsidRPr="003A33BA">
              <w:rPr>
                <w:bCs/>
                <w:color w:val="000000" w:themeColor="text1"/>
                <w:sz w:val="20"/>
                <w:szCs w:val="20"/>
              </w:rPr>
              <w:t>CI Lower</w:t>
            </w:r>
          </w:p>
        </w:tc>
        <w:tc>
          <w:tcPr>
            <w:tcW w:w="0" w:type="auto"/>
            <w:vAlign w:val="center"/>
            <w:hideMark/>
          </w:tcPr>
          <w:p w14:paraId="66D2F380" w14:textId="77777777" w:rsidR="003F29F4" w:rsidRPr="003A33BA" w:rsidRDefault="003F29F4" w:rsidP="003F29F4">
            <w:pPr>
              <w:pStyle w:val="Heading5"/>
              <w:jc w:val="center"/>
              <w:rPr>
                <w:bCs/>
                <w:color w:val="000000" w:themeColor="text1"/>
                <w:sz w:val="20"/>
                <w:szCs w:val="20"/>
              </w:rPr>
            </w:pPr>
            <w:r w:rsidRPr="003A33BA">
              <w:rPr>
                <w:bCs/>
                <w:color w:val="000000" w:themeColor="text1"/>
                <w:sz w:val="20"/>
                <w:szCs w:val="20"/>
              </w:rPr>
              <w:t>CI Upper</w:t>
            </w:r>
          </w:p>
        </w:tc>
      </w:tr>
      <w:tr w:rsidR="003F29F4" w:rsidRPr="00CC1F61" w14:paraId="354CD6C6" w14:textId="77777777" w:rsidTr="003F29F4">
        <w:trPr>
          <w:trHeight w:val="480"/>
        </w:trPr>
        <w:tc>
          <w:tcPr>
            <w:tcW w:w="0" w:type="auto"/>
            <w:vMerge w:val="restart"/>
            <w:vAlign w:val="center"/>
            <w:hideMark/>
          </w:tcPr>
          <w:p w14:paraId="7E0881DC"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Fracture</w:t>
            </w:r>
          </w:p>
        </w:tc>
        <w:tc>
          <w:tcPr>
            <w:tcW w:w="0" w:type="auto"/>
            <w:vAlign w:val="center"/>
            <w:hideMark/>
          </w:tcPr>
          <w:p w14:paraId="276AC8B0"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90%</w:t>
            </w:r>
          </w:p>
        </w:tc>
        <w:tc>
          <w:tcPr>
            <w:tcW w:w="0" w:type="auto"/>
            <w:vAlign w:val="center"/>
            <w:hideMark/>
          </w:tcPr>
          <w:p w14:paraId="46A1D3D7"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0.8723</w:t>
            </w:r>
          </w:p>
        </w:tc>
        <w:tc>
          <w:tcPr>
            <w:tcW w:w="0" w:type="auto"/>
            <w:vAlign w:val="center"/>
            <w:hideMark/>
          </w:tcPr>
          <w:p w14:paraId="4948B905"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0.8653</w:t>
            </w:r>
          </w:p>
        </w:tc>
        <w:tc>
          <w:tcPr>
            <w:tcW w:w="0" w:type="auto"/>
            <w:vAlign w:val="center"/>
            <w:hideMark/>
          </w:tcPr>
          <w:p w14:paraId="05EECD76"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0.8792</w:t>
            </w:r>
          </w:p>
        </w:tc>
      </w:tr>
      <w:tr w:rsidR="003F29F4" w:rsidRPr="00CC1F61" w14:paraId="13522A6C" w14:textId="77777777" w:rsidTr="003F29F4">
        <w:trPr>
          <w:trHeight w:val="491"/>
        </w:trPr>
        <w:tc>
          <w:tcPr>
            <w:tcW w:w="0" w:type="auto"/>
            <w:vMerge/>
            <w:vAlign w:val="center"/>
            <w:hideMark/>
          </w:tcPr>
          <w:p w14:paraId="5FD83887" w14:textId="77777777" w:rsidR="003F29F4" w:rsidRPr="003A33BA" w:rsidRDefault="003F29F4" w:rsidP="003F29F4">
            <w:pPr>
              <w:pStyle w:val="Heading5"/>
              <w:jc w:val="center"/>
              <w:rPr>
                <w:b w:val="0"/>
                <w:color w:val="000000" w:themeColor="text1"/>
                <w:sz w:val="20"/>
                <w:szCs w:val="20"/>
              </w:rPr>
            </w:pPr>
          </w:p>
        </w:tc>
        <w:tc>
          <w:tcPr>
            <w:tcW w:w="0" w:type="auto"/>
            <w:vAlign w:val="center"/>
            <w:hideMark/>
          </w:tcPr>
          <w:p w14:paraId="04FD81A4"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95%</w:t>
            </w:r>
          </w:p>
        </w:tc>
        <w:tc>
          <w:tcPr>
            <w:tcW w:w="0" w:type="auto"/>
            <w:vAlign w:val="center"/>
            <w:hideMark/>
          </w:tcPr>
          <w:p w14:paraId="0C6327F4"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0.8723</w:t>
            </w:r>
          </w:p>
        </w:tc>
        <w:tc>
          <w:tcPr>
            <w:tcW w:w="0" w:type="auto"/>
            <w:vAlign w:val="center"/>
            <w:hideMark/>
          </w:tcPr>
          <w:p w14:paraId="53007808"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0.8640</w:t>
            </w:r>
          </w:p>
        </w:tc>
        <w:tc>
          <w:tcPr>
            <w:tcW w:w="0" w:type="auto"/>
            <w:vAlign w:val="center"/>
            <w:hideMark/>
          </w:tcPr>
          <w:p w14:paraId="5409B42E"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0.8806</w:t>
            </w:r>
          </w:p>
        </w:tc>
      </w:tr>
      <w:tr w:rsidR="003F29F4" w:rsidRPr="00CC1F61" w14:paraId="15AEC850" w14:textId="77777777" w:rsidTr="003F29F4">
        <w:trPr>
          <w:trHeight w:val="491"/>
        </w:trPr>
        <w:tc>
          <w:tcPr>
            <w:tcW w:w="0" w:type="auto"/>
            <w:vMerge/>
            <w:vAlign w:val="center"/>
            <w:hideMark/>
          </w:tcPr>
          <w:p w14:paraId="52321F51" w14:textId="77777777" w:rsidR="003F29F4" w:rsidRPr="003A33BA" w:rsidRDefault="003F29F4" w:rsidP="003F29F4">
            <w:pPr>
              <w:pStyle w:val="Heading5"/>
              <w:jc w:val="center"/>
              <w:rPr>
                <w:b w:val="0"/>
                <w:color w:val="000000" w:themeColor="text1"/>
                <w:sz w:val="20"/>
                <w:szCs w:val="20"/>
              </w:rPr>
            </w:pPr>
          </w:p>
        </w:tc>
        <w:tc>
          <w:tcPr>
            <w:tcW w:w="0" w:type="auto"/>
            <w:vAlign w:val="center"/>
            <w:hideMark/>
          </w:tcPr>
          <w:p w14:paraId="67E83519"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99%</w:t>
            </w:r>
          </w:p>
        </w:tc>
        <w:tc>
          <w:tcPr>
            <w:tcW w:w="0" w:type="auto"/>
            <w:vAlign w:val="center"/>
            <w:hideMark/>
          </w:tcPr>
          <w:p w14:paraId="5249F5A5"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0.8723</w:t>
            </w:r>
          </w:p>
        </w:tc>
        <w:tc>
          <w:tcPr>
            <w:tcW w:w="0" w:type="auto"/>
            <w:vAlign w:val="center"/>
            <w:hideMark/>
          </w:tcPr>
          <w:p w14:paraId="7A61948D"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0.8614</w:t>
            </w:r>
          </w:p>
        </w:tc>
        <w:tc>
          <w:tcPr>
            <w:tcW w:w="0" w:type="auto"/>
            <w:vAlign w:val="center"/>
            <w:hideMark/>
          </w:tcPr>
          <w:p w14:paraId="0C8CEEB8"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0.8832</w:t>
            </w:r>
          </w:p>
        </w:tc>
      </w:tr>
      <w:tr w:rsidR="003F29F4" w:rsidRPr="00CC1F61" w14:paraId="61C4752B" w14:textId="77777777" w:rsidTr="003F29F4">
        <w:trPr>
          <w:trHeight w:val="480"/>
        </w:trPr>
        <w:tc>
          <w:tcPr>
            <w:tcW w:w="0" w:type="auto"/>
            <w:vMerge w:val="restart"/>
            <w:vAlign w:val="center"/>
            <w:hideMark/>
          </w:tcPr>
          <w:p w14:paraId="6D4752C4"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Non-Fracture</w:t>
            </w:r>
          </w:p>
        </w:tc>
        <w:tc>
          <w:tcPr>
            <w:tcW w:w="0" w:type="auto"/>
            <w:vAlign w:val="center"/>
            <w:hideMark/>
          </w:tcPr>
          <w:p w14:paraId="643F21C3"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90%</w:t>
            </w:r>
          </w:p>
        </w:tc>
        <w:tc>
          <w:tcPr>
            <w:tcW w:w="0" w:type="auto"/>
            <w:vAlign w:val="center"/>
            <w:hideMark/>
          </w:tcPr>
          <w:p w14:paraId="64FF19B8"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0.6423</w:t>
            </w:r>
          </w:p>
        </w:tc>
        <w:tc>
          <w:tcPr>
            <w:tcW w:w="0" w:type="auto"/>
            <w:vAlign w:val="center"/>
            <w:hideMark/>
          </w:tcPr>
          <w:p w14:paraId="298A868E"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0.6307</w:t>
            </w:r>
          </w:p>
        </w:tc>
        <w:tc>
          <w:tcPr>
            <w:tcW w:w="0" w:type="auto"/>
            <w:vAlign w:val="center"/>
            <w:hideMark/>
          </w:tcPr>
          <w:p w14:paraId="4258BFD7"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0.6539</w:t>
            </w:r>
          </w:p>
        </w:tc>
      </w:tr>
      <w:tr w:rsidR="003F29F4" w:rsidRPr="00CC1F61" w14:paraId="62051415" w14:textId="77777777" w:rsidTr="003F29F4">
        <w:trPr>
          <w:trHeight w:val="491"/>
        </w:trPr>
        <w:tc>
          <w:tcPr>
            <w:tcW w:w="0" w:type="auto"/>
            <w:vMerge/>
            <w:vAlign w:val="center"/>
            <w:hideMark/>
          </w:tcPr>
          <w:p w14:paraId="48CFD933" w14:textId="77777777" w:rsidR="003F29F4" w:rsidRPr="003A33BA" w:rsidRDefault="003F29F4" w:rsidP="003F29F4">
            <w:pPr>
              <w:pStyle w:val="Heading5"/>
              <w:jc w:val="center"/>
              <w:rPr>
                <w:b w:val="0"/>
                <w:color w:val="000000" w:themeColor="text1"/>
                <w:sz w:val="20"/>
                <w:szCs w:val="20"/>
              </w:rPr>
            </w:pPr>
          </w:p>
        </w:tc>
        <w:tc>
          <w:tcPr>
            <w:tcW w:w="0" w:type="auto"/>
            <w:vAlign w:val="center"/>
            <w:hideMark/>
          </w:tcPr>
          <w:p w14:paraId="68CC468D"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95%</w:t>
            </w:r>
          </w:p>
        </w:tc>
        <w:tc>
          <w:tcPr>
            <w:tcW w:w="0" w:type="auto"/>
            <w:vAlign w:val="center"/>
            <w:hideMark/>
          </w:tcPr>
          <w:p w14:paraId="7FBB84EE"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0.6423</w:t>
            </w:r>
          </w:p>
        </w:tc>
        <w:tc>
          <w:tcPr>
            <w:tcW w:w="0" w:type="auto"/>
            <w:vAlign w:val="center"/>
            <w:hideMark/>
          </w:tcPr>
          <w:p w14:paraId="57E7AC60"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0.6285</w:t>
            </w:r>
          </w:p>
        </w:tc>
        <w:tc>
          <w:tcPr>
            <w:tcW w:w="0" w:type="auto"/>
            <w:vAlign w:val="center"/>
            <w:hideMark/>
          </w:tcPr>
          <w:p w14:paraId="6DCCB9E9"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0.6561</w:t>
            </w:r>
          </w:p>
        </w:tc>
      </w:tr>
      <w:tr w:rsidR="003F29F4" w:rsidRPr="00CC1F61" w14:paraId="69E22C72" w14:textId="77777777" w:rsidTr="003F29F4">
        <w:trPr>
          <w:trHeight w:val="491"/>
        </w:trPr>
        <w:tc>
          <w:tcPr>
            <w:tcW w:w="0" w:type="auto"/>
            <w:vMerge/>
            <w:vAlign w:val="center"/>
            <w:hideMark/>
          </w:tcPr>
          <w:p w14:paraId="77E04DF4" w14:textId="77777777" w:rsidR="003F29F4" w:rsidRPr="003A33BA" w:rsidRDefault="003F29F4" w:rsidP="003F29F4">
            <w:pPr>
              <w:pStyle w:val="Heading5"/>
              <w:jc w:val="center"/>
              <w:rPr>
                <w:b w:val="0"/>
                <w:color w:val="000000" w:themeColor="text1"/>
                <w:sz w:val="20"/>
                <w:szCs w:val="20"/>
              </w:rPr>
            </w:pPr>
          </w:p>
        </w:tc>
        <w:tc>
          <w:tcPr>
            <w:tcW w:w="0" w:type="auto"/>
            <w:vAlign w:val="center"/>
            <w:hideMark/>
          </w:tcPr>
          <w:p w14:paraId="731B9228"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99%</w:t>
            </w:r>
          </w:p>
        </w:tc>
        <w:tc>
          <w:tcPr>
            <w:tcW w:w="0" w:type="auto"/>
            <w:vAlign w:val="center"/>
            <w:hideMark/>
          </w:tcPr>
          <w:p w14:paraId="03C306F0"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0.6423</w:t>
            </w:r>
          </w:p>
        </w:tc>
        <w:tc>
          <w:tcPr>
            <w:tcW w:w="0" w:type="auto"/>
            <w:vAlign w:val="center"/>
            <w:hideMark/>
          </w:tcPr>
          <w:p w14:paraId="6BEDE925"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0.6242</w:t>
            </w:r>
          </w:p>
        </w:tc>
        <w:tc>
          <w:tcPr>
            <w:tcW w:w="0" w:type="auto"/>
            <w:vAlign w:val="center"/>
            <w:hideMark/>
          </w:tcPr>
          <w:p w14:paraId="211626FB" w14:textId="77777777" w:rsidR="003F29F4" w:rsidRPr="003A33BA" w:rsidRDefault="003F29F4" w:rsidP="003F29F4">
            <w:pPr>
              <w:pStyle w:val="Heading5"/>
              <w:jc w:val="center"/>
              <w:rPr>
                <w:b w:val="0"/>
                <w:color w:val="000000" w:themeColor="text1"/>
                <w:sz w:val="20"/>
                <w:szCs w:val="20"/>
              </w:rPr>
            </w:pPr>
            <w:r w:rsidRPr="003A33BA">
              <w:rPr>
                <w:b w:val="0"/>
                <w:color w:val="000000" w:themeColor="text1"/>
                <w:sz w:val="20"/>
                <w:szCs w:val="20"/>
              </w:rPr>
              <w:t>0.6604</w:t>
            </w:r>
          </w:p>
        </w:tc>
      </w:tr>
    </w:tbl>
    <w:p w14:paraId="2CFEEAE3" w14:textId="7BE1B6A8" w:rsidR="003F29F4" w:rsidRDefault="00CC1F61" w:rsidP="003A33BA">
      <w:pPr>
        <w:pStyle w:val="Caption"/>
        <w:keepNext/>
        <w:rPr>
          <w:rFonts w:ascii="Times New Roman" w:hAnsi="Times New Roman"/>
          <w:b/>
          <w:i w:val="0"/>
          <w:iCs w:val="0"/>
          <w:color w:val="000000" w:themeColor="text1"/>
          <w:sz w:val="20"/>
          <w:szCs w:val="20"/>
        </w:rPr>
      </w:pPr>
      <w:r>
        <w:rPr>
          <w:noProof/>
        </w:rPr>
        <w:drawing>
          <wp:anchor distT="0" distB="0" distL="114300" distR="114300" simplePos="0" relativeHeight="251659264" behindDoc="0" locked="0" layoutInCell="1" allowOverlap="1" wp14:anchorId="6300E35D" wp14:editId="04B2DB2E">
            <wp:simplePos x="0" y="0"/>
            <wp:positionH relativeFrom="margin">
              <wp:posOffset>388620</wp:posOffset>
            </wp:positionH>
            <wp:positionV relativeFrom="paragraph">
              <wp:posOffset>2640965</wp:posOffset>
            </wp:positionV>
            <wp:extent cx="4718050" cy="2339975"/>
            <wp:effectExtent l="0" t="0" r="6350" b="3175"/>
            <wp:wrapSquare wrapText="bothSides"/>
            <wp:docPr id="13391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050" cy="233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F29F4">
        <w:rPr>
          <w:rFonts w:ascii="Times New Roman" w:hAnsi="Times New Roman"/>
          <w:b/>
          <w:i w:val="0"/>
          <w:iCs w:val="0"/>
          <w:color w:val="000000" w:themeColor="text1"/>
          <w:sz w:val="20"/>
          <w:szCs w:val="20"/>
        </w:rPr>
        <w:t xml:space="preserve"> </w:t>
      </w:r>
    </w:p>
    <w:p w14:paraId="77A48505" w14:textId="79BA51D1" w:rsidR="003F29F4" w:rsidRDefault="003F29F4" w:rsidP="003F29F4"/>
    <w:p w14:paraId="19712F6F" w14:textId="27519647" w:rsidR="003F29F4" w:rsidRPr="003F29F4" w:rsidRDefault="003F29F4" w:rsidP="003F29F4"/>
    <w:p w14:paraId="09C4C700" w14:textId="57009512" w:rsidR="003F29F4" w:rsidRDefault="003F29F4" w:rsidP="003A33BA">
      <w:pPr>
        <w:pStyle w:val="Caption"/>
        <w:keepNext/>
        <w:rPr>
          <w:rFonts w:ascii="Times New Roman" w:hAnsi="Times New Roman"/>
          <w:b/>
          <w:i w:val="0"/>
          <w:iCs w:val="0"/>
          <w:color w:val="000000" w:themeColor="text1"/>
          <w:sz w:val="20"/>
          <w:szCs w:val="20"/>
        </w:rPr>
      </w:pPr>
    </w:p>
    <w:p w14:paraId="17280607" w14:textId="6799B214" w:rsidR="003A33BA" w:rsidRPr="003A33BA" w:rsidRDefault="00CC1F61" w:rsidP="003A33BA">
      <w:pPr>
        <w:pStyle w:val="Caption"/>
        <w:keepNext/>
        <w:rPr>
          <w:rFonts w:ascii="Times New Roman" w:hAnsi="Times New Roman"/>
          <w:b/>
          <w:bCs/>
          <w:i w:val="0"/>
          <w:iCs w:val="0"/>
        </w:rPr>
      </w:pPr>
      <w:r>
        <w:rPr>
          <w:noProof/>
        </w:rPr>
        <mc:AlternateContent>
          <mc:Choice Requires="wps">
            <w:drawing>
              <wp:anchor distT="0" distB="0" distL="114300" distR="114300" simplePos="0" relativeHeight="251661312" behindDoc="0" locked="0" layoutInCell="1" allowOverlap="1" wp14:anchorId="0E5192B1" wp14:editId="09C221B9">
                <wp:simplePos x="0" y="0"/>
                <wp:positionH relativeFrom="margin">
                  <wp:align>left</wp:align>
                </wp:positionH>
                <wp:positionV relativeFrom="paragraph">
                  <wp:posOffset>1729740</wp:posOffset>
                </wp:positionV>
                <wp:extent cx="5732145" cy="635"/>
                <wp:effectExtent l="0" t="0" r="1905" b="0"/>
                <wp:wrapSquare wrapText="bothSides"/>
                <wp:docPr id="1042195139" name="Text Box 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72B0116F" w14:textId="2EE98A35" w:rsidR="00CC1F61" w:rsidRPr="003F29F4" w:rsidRDefault="00CC1F61" w:rsidP="00CC1F61">
                            <w:pPr>
                              <w:pStyle w:val="Caption"/>
                              <w:jc w:val="center"/>
                              <w:rPr>
                                <w:rFonts w:ascii="Times New Roman" w:hAnsi="Times New Roman"/>
                                <w:b/>
                                <w:bCs/>
                                <w:i w:val="0"/>
                                <w:iCs w:val="0"/>
                                <w:noProof/>
                                <w:color w:val="000000" w:themeColor="text1"/>
                                <w:sz w:val="20"/>
                                <w:szCs w:val="20"/>
                              </w:rPr>
                            </w:pPr>
                            <w:r w:rsidRPr="003F29F4">
                              <w:rPr>
                                <w:rFonts w:ascii="Times New Roman" w:hAnsi="Times New Roman"/>
                                <w:b/>
                                <w:bCs/>
                                <w:i w:val="0"/>
                                <w:iCs w:val="0"/>
                                <w:color w:val="000000" w:themeColor="text1"/>
                                <w:sz w:val="20"/>
                                <w:szCs w:val="20"/>
                              </w:rPr>
                              <w:t xml:space="preserve">Figure </w:t>
                            </w:r>
                            <w:r w:rsidRPr="003F29F4">
                              <w:rPr>
                                <w:rFonts w:ascii="Times New Roman" w:hAnsi="Times New Roman"/>
                                <w:b/>
                                <w:bCs/>
                                <w:i w:val="0"/>
                                <w:iCs w:val="0"/>
                                <w:color w:val="000000" w:themeColor="text1"/>
                                <w:sz w:val="20"/>
                                <w:szCs w:val="20"/>
                              </w:rPr>
                              <w:fldChar w:fldCharType="begin"/>
                            </w:r>
                            <w:r w:rsidRPr="003F29F4">
                              <w:rPr>
                                <w:rFonts w:ascii="Times New Roman" w:hAnsi="Times New Roman"/>
                                <w:b/>
                                <w:bCs/>
                                <w:i w:val="0"/>
                                <w:iCs w:val="0"/>
                                <w:color w:val="000000" w:themeColor="text1"/>
                                <w:sz w:val="20"/>
                                <w:szCs w:val="20"/>
                              </w:rPr>
                              <w:instrText xml:space="preserve"> SEQ Figure \* ARABIC </w:instrText>
                            </w:r>
                            <w:r w:rsidRPr="003F29F4">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1</w:t>
                            </w:r>
                            <w:r w:rsidRPr="003F29F4">
                              <w:rPr>
                                <w:rFonts w:ascii="Times New Roman" w:hAnsi="Times New Roman"/>
                                <w:b/>
                                <w:bCs/>
                                <w:i w:val="0"/>
                                <w:iCs w:val="0"/>
                                <w:color w:val="000000" w:themeColor="text1"/>
                                <w:sz w:val="20"/>
                                <w:szCs w:val="20"/>
                              </w:rPr>
                              <w:fldChar w:fldCharType="end"/>
                            </w:r>
                            <w:r w:rsidRPr="003F29F4">
                              <w:rPr>
                                <w:rFonts w:ascii="Times New Roman" w:hAnsi="Times New Roman"/>
                                <w:b/>
                                <w:bCs/>
                                <w:i w:val="0"/>
                                <w:iCs w:val="0"/>
                                <w:color w:val="000000" w:themeColor="text1"/>
                                <w:sz w:val="20"/>
                                <w:szCs w:val="20"/>
                              </w:rPr>
                              <w:t>. Statistical Analysis (Confidence level) of Deep learning models with the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192B1" id="_x0000_t202" coordsize="21600,21600" o:spt="202" path="m,l,21600r21600,l21600,xe">
                <v:stroke joinstyle="miter"/>
                <v:path gradientshapeok="t" o:connecttype="rect"/>
              </v:shapetype>
              <v:shape id="Text Box 1" o:spid="_x0000_s1026" type="#_x0000_t202" style="position:absolute;left:0;text-align:left;margin-left:0;margin-top:136.2pt;width:451.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2p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Zp5vp5O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" stroked="f">
                <v:textbox style="mso-fit-shape-to-text:t" inset="0,0,0,0">
                  <w:txbxContent>
                    <w:p w14:paraId="72B0116F" w14:textId="2EE98A35" w:rsidR="00CC1F61" w:rsidRPr="003F29F4" w:rsidRDefault="00CC1F61" w:rsidP="00CC1F61">
                      <w:pPr>
                        <w:pStyle w:val="Caption"/>
                        <w:jc w:val="center"/>
                        <w:rPr>
                          <w:rFonts w:ascii="Times New Roman" w:hAnsi="Times New Roman"/>
                          <w:b/>
                          <w:bCs/>
                          <w:i w:val="0"/>
                          <w:iCs w:val="0"/>
                          <w:noProof/>
                          <w:color w:val="000000" w:themeColor="text1"/>
                          <w:sz w:val="20"/>
                          <w:szCs w:val="20"/>
                        </w:rPr>
                      </w:pPr>
                      <w:r w:rsidRPr="003F29F4">
                        <w:rPr>
                          <w:rFonts w:ascii="Times New Roman" w:hAnsi="Times New Roman"/>
                          <w:b/>
                          <w:bCs/>
                          <w:i w:val="0"/>
                          <w:iCs w:val="0"/>
                          <w:color w:val="000000" w:themeColor="text1"/>
                          <w:sz w:val="20"/>
                          <w:szCs w:val="20"/>
                        </w:rPr>
                        <w:t xml:space="preserve">Figure </w:t>
                      </w:r>
                      <w:r w:rsidRPr="003F29F4">
                        <w:rPr>
                          <w:rFonts w:ascii="Times New Roman" w:hAnsi="Times New Roman"/>
                          <w:b/>
                          <w:bCs/>
                          <w:i w:val="0"/>
                          <w:iCs w:val="0"/>
                          <w:color w:val="000000" w:themeColor="text1"/>
                          <w:sz w:val="20"/>
                          <w:szCs w:val="20"/>
                        </w:rPr>
                        <w:fldChar w:fldCharType="begin"/>
                      </w:r>
                      <w:r w:rsidRPr="003F29F4">
                        <w:rPr>
                          <w:rFonts w:ascii="Times New Roman" w:hAnsi="Times New Roman"/>
                          <w:b/>
                          <w:bCs/>
                          <w:i w:val="0"/>
                          <w:iCs w:val="0"/>
                          <w:color w:val="000000" w:themeColor="text1"/>
                          <w:sz w:val="20"/>
                          <w:szCs w:val="20"/>
                        </w:rPr>
                        <w:instrText xml:space="preserve"> SEQ Figure \* ARABIC </w:instrText>
                      </w:r>
                      <w:r w:rsidRPr="003F29F4">
                        <w:rPr>
                          <w:rFonts w:ascii="Times New Roman" w:hAnsi="Times New Roman"/>
                          <w:b/>
                          <w:bCs/>
                          <w:i w:val="0"/>
                          <w:iCs w:val="0"/>
                          <w:color w:val="000000" w:themeColor="text1"/>
                          <w:sz w:val="20"/>
                          <w:szCs w:val="20"/>
                        </w:rPr>
                        <w:fldChar w:fldCharType="separate"/>
                      </w:r>
                      <w:r w:rsidR="008079BF">
                        <w:rPr>
                          <w:rFonts w:ascii="Times New Roman" w:hAnsi="Times New Roman"/>
                          <w:b/>
                          <w:bCs/>
                          <w:i w:val="0"/>
                          <w:iCs w:val="0"/>
                          <w:noProof/>
                          <w:color w:val="000000" w:themeColor="text1"/>
                          <w:sz w:val="20"/>
                          <w:szCs w:val="20"/>
                        </w:rPr>
                        <w:t>1</w:t>
                      </w:r>
                      <w:r w:rsidRPr="003F29F4">
                        <w:rPr>
                          <w:rFonts w:ascii="Times New Roman" w:hAnsi="Times New Roman"/>
                          <w:b/>
                          <w:bCs/>
                          <w:i w:val="0"/>
                          <w:iCs w:val="0"/>
                          <w:color w:val="000000" w:themeColor="text1"/>
                          <w:sz w:val="20"/>
                          <w:szCs w:val="20"/>
                        </w:rPr>
                        <w:fldChar w:fldCharType="end"/>
                      </w:r>
                      <w:r w:rsidRPr="003F29F4">
                        <w:rPr>
                          <w:rFonts w:ascii="Times New Roman" w:hAnsi="Times New Roman"/>
                          <w:b/>
                          <w:bCs/>
                          <w:i w:val="0"/>
                          <w:iCs w:val="0"/>
                          <w:color w:val="000000" w:themeColor="text1"/>
                          <w:sz w:val="20"/>
                          <w:szCs w:val="20"/>
                        </w:rPr>
                        <w:t>. Statistical Analysis (Confidence level) of Deep learning models with the types</w:t>
                      </w:r>
                    </w:p>
                  </w:txbxContent>
                </v:textbox>
                <w10:wrap type="square" anchorx="margin"/>
              </v:shape>
            </w:pict>
          </mc:Fallback>
        </mc:AlternateContent>
      </w:r>
    </w:p>
    <w:tbl>
      <w:tblPr>
        <w:tblStyle w:val="TableGrid"/>
        <w:tblpPr w:leftFromText="180" w:rightFromText="180" w:vertAnchor="text" w:horzAnchor="page" w:tblpX="6481" w:tblpY="-1614"/>
        <w:tblW w:w="4698" w:type="dxa"/>
        <w:tblLook w:val="04A0" w:firstRow="1" w:lastRow="0" w:firstColumn="1" w:lastColumn="0" w:noHBand="0" w:noVBand="1"/>
      </w:tblPr>
      <w:tblGrid>
        <w:gridCol w:w="1025"/>
        <w:gridCol w:w="1183"/>
        <w:gridCol w:w="766"/>
        <w:gridCol w:w="866"/>
        <w:gridCol w:w="858"/>
      </w:tblGrid>
      <w:tr w:rsidR="003A33BA" w:rsidRPr="00CC1F61" w14:paraId="4781CE03" w14:textId="77777777" w:rsidTr="00D61673">
        <w:trPr>
          <w:trHeight w:val="489"/>
        </w:trPr>
        <w:tc>
          <w:tcPr>
            <w:tcW w:w="0" w:type="auto"/>
            <w:vAlign w:val="center"/>
            <w:hideMark/>
          </w:tcPr>
          <w:p w14:paraId="65799678" w14:textId="77777777" w:rsidR="003A33BA" w:rsidRPr="003A33BA" w:rsidRDefault="003A33BA" w:rsidP="00D61673">
            <w:pPr>
              <w:pStyle w:val="Heading5"/>
              <w:jc w:val="center"/>
              <w:rPr>
                <w:bCs/>
                <w:color w:val="000000"/>
                <w:sz w:val="20"/>
                <w:szCs w:val="20"/>
              </w:rPr>
            </w:pPr>
            <w:r w:rsidRPr="003A33BA">
              <w:rPr>
                <w:bCs/>
                <w:color w:val="000000"/>
                <w:sz w:val="20"/>
                <w:szCs w:val="20"/>
              </w:rPr>
              <w:t>Group</w:t>
            </w:r>
          </w:p>
        </w:tc>
        <w:tc>
          <w:tcPr>
            <w:tcW w:w="0" w:type="auto"/>
            <w:vAlign w:val="center"/>
            <w:hideMark/>
          </w:tcPr>
          <w:p w14:paraId="048E7681" w14:textId="77777777" w:rsidR="003A33BA" w:rsidRPr="003A33BA" w:rsidRDefault="003A33BA" w:rsidP="00D61673">
            <w:pPr>
              <w:pStyle w:val="Heading5"/>
              <w:jc w:val="center"/>
              <w:rPr>
                <w:bCs/>
                <w:color w:val="000000"/>
                <w:sz w:val="20"/>
                <w:szCs w:val="20"/>
              </w:rPr>
            </w:pPr>
            <w:r w:rsidRPr="003A33BA">
              <w:rPr>
                <w:bCs/>
                <w:color w:val="000000"/>
                <w:sz w:val="20"/>
                <w:szCs w:val="20"/>
              </w:rPr>
              <w:t>Confidence</w:t>
            </w:r>
          </w:p>
        </w:tc>
        <w:tc>
          <w:tcPr>
            <w:tcW w:w="0" w:type="auto"/>
            <w:vAlign w:val="center"/>
            <w:hideMark/>
          </w:tcPr>
          <w:p w14:paraId="6864DE78" w14:textId="77777777" w:rsidR="003A33BA" w:rsidRPr="003A33BA" w:rsidRDefault="003A33BA" w:rsidP="00D61673">
            <w:pPr>
              <w:pStyle w:val="Heading5"/>
              <w:jc w:val="center"/>
              <w:rPr>
                <w:bCs/>
                <w:color w:val="000000"/>
                <w:sz w:val="20"/>
                <w:szCs w:val="20"/>
              </w:rPr>
            </w:pPr>
            <w:r w:rsidRPr="003A33BA">
              <w:rPr>
                <w:bCs/>
                <w:color w:val="000000"/>
                <w:sz w:val="20"/>
                <w:szCs w:val="20"/>
              </w:rPr>
              <w:t>Mean</w:t>
            </w:r>
          </w:p>
        </w:tc>
        <w:tc>
          <w:tcPr>
            <w:tcW w:w="0" w:type="auto"/>
            <w:vAlign w:val="center"/>
            <w:hideMark/>
          </w:tcPr>
          <w:p w14:paraId="00B796DC" w14:textId="77777777" w:rsidR="003A33BA" w:rsidRPr="003A33BA" w:rsidRDefault="003A33BA" w:rsidP="00D61673">
            <w:pPr>
              <w:pStyle w:val="Heading5"/>
              <w:jc w:val="center"/>
              <w:rPr>
                <w:bCs/>
                <w:color w:val="000000"/>
                <w:sz w:val="20"/>
                <w:szCs w:val="20"/>
              </w:rPr>
            </w:pPr>
            <w:r w:rsidRPr="003A33BA">
              <w:rPr>
                <w:bCs/>
                <w:color w:val="000000"/>
                <w:sz w:val="20"/>
                <w:szCs w:val="20"/>
              </w:rPr>
              <w:t>CI Lower</w:t>
            </w:r>
          </w:p>
        </w:tc>
        <w:tc>
          <w:tcPr>
            <w:tcW w:w="0" w:type="auto"/>
            <w:vAlign w:val="center"/>
            <w:hideMark/>
          </w:tcPr>
          <w:p w14:paraId="1E2333AA" w14:textId="77777777" w:rsidR="003A33BA" w:rsidRPr="003A33BA" w:rsidRDefault="003A33BA" w:rsidP="00D61673">
            <w:pPr>
              <w:pStyle w:val="Heading5"/>
              <w:jc w:val="center"/>
              <w:rPr>
                <w:bCs/>
                <w:color w:val="000000"/>
                <w:sz w:val="20"/>
                <w:szCs w:val="20"/>
              </w:rPr>
            </w:pPr>
            <w:r w:rsidRPr="003A33BA">
              <w:rPr>
                <w:bCs/>
                <w:color w:val="000000"/>
                <w:sz w:val="20"/>
                <w:szCs w:val="20"/>
              </w:rPr>
              <w:t>CI Upper</w:t>
            </w:r>
          </w:p>
        </w:tc>
      </w:tr>
      <w:tr w:rsidR="003A33BA" w:rsidRPr="00CC1F61" w14:paraId="4703096F" w14:textId="77777777" w:rsidTr="00D61673">
        <w:trPr>
          <w:trHeight w:val="477"/>
        </w:trPr>
        <w:tc>
          <w:tcPr>
            <w:tcW w:w="0" w:type="auto"/>
            <w:vMerge w:val="restart"/>
            <w:vAlign w:val="center"/>
            <w:hideMark/>
          </w:tcPr>
          <w:p w14:paraId="59C9127B" w14:textId="77777777" w:rsidR="003A33BA" w:rsidRPr="003A33BA" w:rsidRDefault="003A33BA" w:rsidP="00D61673">
            <w:pPr>
              <w:pStyle w:val="Heading5"/>
              <w:jc w:val="center"/>
              <w:rPr>
                <w:b w:val="0"/>
                <w:color w:val="000000"/>
                <w:sz w:val="20"/>
                <w:szCs w:val="20"/>
              </w:rPr>
            </w:pPr>
            <w:r w:rsidRPr="003A33BA">
              <w:rPr>
                <w:b w:val="0"/>
                <w:color w:val="000000"/>
                <w:sz w:val="20"/>
                <w:szCs w:val="20"/>
              </w:rPr>
              <w:t>Fracture</w:t>
            </w:r>
          </w:p>
        </w:tc>
        <w:tc>
          <w:tcPr>
            <w:tcW w:w="0" w:type="auto"/>
            <w:vAlign w:val="center"/>
            <w:hideMark/>
          </w:tcPr>
          <w:p w14:paraId="11D6E27C" w14:textId="77777777" w:rsidR="003A33BA" w:rsidRPr="003A33BA" w:rsidRDefault="003A33BA" w:rsidP="00D61673">
            <w:pPr>
              <w:pStyle w:val="Heading5"/>
              <w:jc w:val="center"/>
              <w:rPr>
                <w:b w:val="0"/>
                <w:color w:val="000000"/>
                <w:sz w:val="20"/>
                <w:szCs w:val="20"/>
              </w:rPr>
            </w:pPr>
            <w:r w:rsidRPr="003A33BA">
              <w:rPr>
                <w:b w:val="0"/>
                <w:color w:val="000000"/>
                <w:sz w:val="20"/>
                <w:szCs w:val="20"/>
              </w:rPr>
              <w:t>90%</w:t>
            </w:r>
          </w:p>
        </w:tc>
        <w:tc>
          <w:tcPr>
            <w:tcW w:w="0" w:type="auto"/>
            <w:vAlign w:val="center"/>
            <w:hideMark/>
          </w:tcPr>
          <w:p w14:paraId="7BBB74CD"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0.8544</w:t>
            </w:r>
          </w:p>
        </w:tc>
        <w:tc>
          <w:tcPr>
            <w:tcW w:w="0" w:type="auto"/>
            <w:vAlign w:val="center"/>
            <w:hideMark/>
          </w:tcPr>
          <w:p w14:paraId="617CE0CB"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0.8472</w:t>
            </w:r>
          </w:p>
        </w:tc>
        <w:tc>
          <w:tcPr>
            <w:tcW w:w="0" w:type="auto"/>
            <w:vAlign w:val="center"/>
            <w:hideMark/>
          </w:tcPr>
          <w:p w14:paraId="0EC8C38F"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0.8616</w:t>
            </w:r>
          </w:p>
        </w:tc>
      </w:tr>
      <w:tr w:rsidR="003A33BA" w:rsidRPr="00CC1F61" w14:paraId="14FD3DF4" w14:textId="77777777" w:rsidTr="00D61673">
        <w:trPr>
          <w:trHeight w:val="489"/>
        </w:trPr>
        <w:tc>
          <w:tcPr>
            <w:tcW w:w="0" w:type="auto"/>
            <w:vMerge/>
            <w:vAlign w:val="center"/>
            <w:hideMark/>
          </w:tcPr>
          <w:p w14:paraId="5A8DC1E9" w14:textId="77777777" w:rsidR="003A33BA" w:rsidRPr="003A33BA" w:rsidRDefault="003A33BA" w:rsidP="00D61673">
            <w:pPr>
              <w:pStyle w:val="Heading5"/>
              <w:jc w:val="center"/>
              <w:rPr>
                <w:b w:val="0"/>
                <w:color w:val="000000"/>
                <w:sz w:val="20"/>
                <w:szCs w:val="20"/>
              </w:rPr>
            </w:pPr>
          </w:p>
        </w:tc>
        <w:tc>
          <w:tcPr>
            <w:tcW w:w="0" w:type="auto"/>
            <w:vAlign w:val="center"/>
            <w:hideMark/>
          </w:tcPr>
          <w:p w14:paraId="0B54F8A4" w14:textId="77777777" w:rsidR="003A33BA" w:rsidRPr="003A33BA" w:rsidRDefault="003A33BA" w:rsidP="00D61673">
            <w:pPr>
              <w:pStyle w:val="Heading5"/>
              <w:jc w:val="center"/>
              <w:rPr>
                <w:b w:val="0"/>
                <w:color w:val="000000"/>
                <w:sz w:val="20"/>
                <w:szCs w:val="20"/>
              </w:rPr>
            </w:pPr>
            <w:r w:rsidRPr="003A33BA">
              <w:rPr>
                <w:b w:val="0"/>
                <w:color w:val="000000"/>
                <w:sz w:val="20"/>
                <w:szCs w:val="20"/>
              </w:rPr>
              <w:t>95%</w:t>
            </w:r>
          </w:p>
        </w:tc>
        <w:tc>
          <w:tcPr>
            <w:tcW w:w="0" w:type="auto"/>
            <w:vAlign w:val="center"/>
            <w:hideMark/>
          </w:tcPr>
          <w:p w14:paraId="55D35BC2"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0.8544</w:t>
            </w:r>
          </w:p>
        </w:tc>
        <w:tc>
          <w:tcPr>
            <w:tcW w:w="0" w:type="auto"/>
            <w:vAlign w:val="center"/>
            <w:hideMark/>
          </w:tcPr>
          <w:p w14:paraId="2873F373"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0.8459</w:t>
            </w:r>
          </w:p>
        </w:tc>
        <w:tc>
          <w:tcPr>
            <w:tcW w:w="0" w:type="auto"/>
            <w:vAlign w:val="center"/>
            <w:hideMark/>
          </w:tcPr>
          <w:p w14:paraId="034F51AE"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0.8629</w:t>
            </w:r>
          </w:p>
        </w:tc>
      </w:tr>
      <w:tr w:rsidR="003A33BA" w:rsidRPr="00CC1F61" w14:paraId="5DF92FE0" w14:textId="77777777" w:rsidTr="00D61673">
        <w:trPr>
          <w:trHeight w:val="489"/>
        </w:trPr>
        <w:tc>
          <w:tcPr>
            <w:tcW w:w="0" w:type="auto"/>
            <w:vMerge/>
            <w:vAlign w:val="center"/>
            <w:hideMark/>
          </w:tcPr>
          <w:p w14:paraId="523E86E5" w14:textId="77777777" w:rsidR="003A33BA" w:rsidRPr="003A33BA" w:rsidRDefault="003A33BA" w:rsidP="00D61673">
            <w:pPr>
              <w:pStyle w:val="Heading5"/>
              <w:jc w:val="center"/>
              <w:rPr>
                <w:b w:val="0"/>
                <w:color w:val="000000"/>
                <w:sz w:val="20"/>
                <w:szCs w:val="20"/>
              </w:rPr>
            </w:pPr>
          </w:p>
        </w:tc>
        <w:tc>
          <w:tcPr>
            <w:tcW w:w="0" w:type="auto"/>
            <w:vAlign w:val="center"/>
            <w:hideMark/>
          </w:tcPr>
          <w:p w14:paraId="43C9D416" w14:textId="77777777" w:rsidR="003A33BA" w:rsidRPr="003A33BA" w:rsidRDefault="003A33BA" w:rsidP="00D61673">
            <w:pPr>
              <w:pStyle w:val="Heading5"/>
              <w:jc w:val="center"/>
              <w:rPr>
                <w:b w:val="0"/>
                <w:color w:val="000000"/>
                <w:sz w:val="20"/>
                <w:szCs w:val="20"/>
              </w:rPr>
            </w:pPr>
            <w:r w:rsidRPr="003A33BA">
              <w:rPr>
                <w:b w:val="0"/>
                <w:color w:val="000000"/>
                <w:sz w:val="20"/>
                <w:szCs w:val="20"/>
              </w:rPr>
              <w:t>99%</w:t>
            </w:r>
          </w:p>
        </w:tc>
        <w:tc>
          <w:tcPr>
            <w:tcW w:w="0" w:type="auto"/>
            <w:vAlign w:val="center"/>
            <w:hideMark/>
          </w:tcPr>
          <w:p w14:paraId="30DA221D"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0.8544</w:t>
            </w:r>
          </w:p>
        </w:tc>
        <w:tc>
          <w:tcPr>
            <w:tcW w:w="0" w:type="auto"/>
            <w:vAlign w:val="center"/>
            <w:hideMark/>
          </w:tcPr>
          <w:p w14:paraId="3B5B8F5F"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0.8432</w:t>
            </w:r>
          </w:p>
        </w:tc>
        <w:tc>
          <w:tcPr>
            <w:tcW w:w="0" w:type="auto"/>
            <w:vAlign w:val="center"/>
            <w:hideMark/>
          </w:tcPr>
          <w:p w14:paraId="42980B60" w14:textId="77777777" w:rsidR="003A33BA" w:rsidRPr="003A33BA" w:rsidRDefault="003A33BA" w:rsidP="00D61673">
            <w:pPr>
              <w:pStyle w:val="Heading5"/>
              <w:jc w:val="center"/>
              <w:rPr>
                <w:b w:val="0"/>
                <w:color w:val="000000"/>
                <w:sz w:val="20"/>
                <w:szCs w:val="20"/>
              </w:rPr>
            </w:pPr>
            <w:r w:rsidRPr="003A33BA">
              <w:rPr>
                <w:b w:val="0"/>
                <w:color w:val="000000"/>
                <w:sz w:val="20"/>
                <w:szCs w:val="20"/>
              </w:rPr>
              <w:t>0.8656</w:t>
            </w:r>
          </w:p>
        </w:tc>
      </w:tr>
      <w:tr w:rsidR="003A33BA" w:rsidRPr="00CC1F61" w14:paraId="3CF2F4B7" w14:textId="77777777" w:rsidTr="00D61673">
        <w:trPr>
          <w:trHeight w:val="477"/>
        </w:trPr>
        <w:tc>
          <w:tcPr>
            <w:tcW w:w="0" w:type="auto"/>
            <w:vMerge w:val="restart"/>
            <w:vAlign w:val="center"/>
            <w:hideMark/>
          </w:tcPr>
          <w:p w14:paraId="3BAE8196" w14:textId="77777777" w:rsidR="003A33BA" w:rsidRPr="003A33BA" w:rsidRDefault="003A33BA" w:rsidP="00D61673">
            <w:pPr>
              <w:pStyle w:val="Heading5"/>
              <w:jc w:val="center"/>
              <w:rPr>
                <w:b w:val="0"/>
                <w:color w:val="000000"/>
                <w:sz w:val="20"/>
                <w:szCs w:val="20"/>
              </w:rPr>
            </w:pPr>
            <w:r w:rsidRPr="003A33BA">
              <w:rPr>
                <w:b w:val="0"/>
                <w:color w:val="000000"/>
                <w:sz w:val="20"/>
                <w:szCs w:val="20"/>
              </w:rPr>
              <w:t>Non-Fracture</w:t>
            </w:r>
          </w:p>
        </w:tc>
        <w:tc>
          <w:tcPr>
            <w:tcW w:w="0" w:type="auto"/>
            <w:vAlign w:val="center"/>
            <w:hideMark/>
          </w:tcPr>
          <w:p w14:paraId="30AE2FD5" w14:textId="77777777" w:rsidR="003A33BA" w:rsidRPr="003A33BA" w:rsidRDefault="003A33BA" w:rsidP="00D61673">
            <w:pPr>
              <w:pStyle w:val="Heading5"/>
              <w:jc w:val="center"/>
              <w:rPr>
                <w:b w:val="0"/>
                <w:color w:val="000000"/>
                <w:sz w:val="20"/>
                <w:szCs w:val="20"/>
              </w:rPr>
            </w:pPr>
            <w:r w:rsidRPr="003A33BA">
              <w:rPr>
                <w:b w:val="0"/>
                <w:color w:val="000000"/>
                <w:sz w:val="20"/>
                <w:szCs w:val="20"/>
              </w:rPr>
              <w:t>90%</w:t>
            </w:r>
          </w:p>
        </w:tc>
        <w:tc>
          <w:tcPr>
            <w:tcW w:w="0" w:type="auto"/>
            <w:vAlign w:val="center"/>
            <w:hideMark/>
          </w:tcPr>
          <w:p w14:paraId="256DDE24"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0.6564</w:t>
            </w:r>
          </w:p>
        </w:tc>
        <w:tc>
          <w:tcPr>
            <w:tcW w:w="0" w:type="auto"/>
            <w:vAlign w:val="center"/>
            <w:hideMark/>
          </w:tcPr>
          <w:p w14:paraId="02EFC3CE"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0.6453</w:t>
            </w:r>
          </w:p>
        </w:tc>
        <w:tc>
          <w:tcPr>
            <w:tcW w:w="0" w:type="auto"/>
            <w:vAlign w:val="center"/>
            <w:hideMark/>
          </w:tcPr>
          <w:p w14:paraId="43375635"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0.6675</w:t>
            </w:r>
          </w:p>
        </w:tc>
      </w:tr>
      <w:tr w:rsidR="003A33BA" w:rsidRPr="00CC1F61" w14:paraId="7D007DDA" w14:textId="77777777" w:rsidTr="00D61673">
        <w:trPr>
          <w:trHeight w:val="489"/>
        </w:trPr>
        <w:tc>
          <w:tcPr>
            <w:tcW w:w="0" w:type="auto"/>
            <w:vMerge/>
            <w:vAlign w:val="center"/>
            <w:hideMark/>
          </w:tcPr>
          <w:p w14:paraId="4FA2E992" w14:textId="77777777" w:rsidR="003A33BA" w:rsidRPr="003A33BA" w:rsidRDefault="003A33BA" w:rsidP="00D61673">
            <w:pPr>
              <w:pStyle w:val="Heading5"/>
              <w:jc w:val="center"/>
              <w:rPr>
                <w:b w:val="0"/>
                <w:color w:val="000000"/>
                <w:sz w:val="20"/>
                <w:szCs w:val="20"/>
              </w:rPr>
            </w:pPr>
          </w:p>
        </w:tc>
        <w:tc>
          <w:tcPr>
            <w:tcW w:w="0" w:type="auto"/>
            <w:vAlign w:val="center"/>
            <w:hideMark/>
          </w:tcPr>
          <w:p w14:paraId="37E75EC1" w14:textId="77777777" w:rsidR="003A33BA" w:rsidRPr="003A33BA" w:rsidRDefault="003A33BA" w:rsidP="00D61673">
            <w:pPr>
              <w:pStyle w:val="Heading5"/>
              <w:jc w:val="center"/>
              <w:rPr>
                <w:b w:val="0"/>
                <w:color w:val="000000"/>
                <w:sz w:val="20"/>
                <w:szCs w:val="20"/>
              </w:rPr>
            </w:pPr>
            <w:r w:rsidRPr="003A33BA">
              <w:rPr>
                <w:b w:val="0"/>
                <w:color w:val="000000"/>
                <w:sz w:val="20"/>
                <w:szCs w:val="20"/>
              </w:rPr>
              <w:t>95%</w:t>
            </w:r>
          </w:p>
        </w:tc>
        <w:tc>
          <w:tcPr>
            <w:tcW w:w="0" w:type="auto"/>
            <w:vAlign w:val="center"/>
            <w:hideMark/>
          </w:tcPr>
          <w:p w14:paraId="422AEE5A"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0.6564</w:t>
            </w:r>
          </w:p>
        </w:tc>
        <w:tc>
          <w:tcPr>
            <w:tcW w:w="0" w:type="auto"/>
            <w:vAlign w:val="center"/>
            <w:hideMark/>
          </w:tcPr>
          <w:p w14:paraId="0406BD2E"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0.6432</w:t>
            </w:r>
          </w:p>
        </w:tc>
        <w:tc>
          <w:tcPr>
            <w:tcW w:w="0" w:type="auto"/>
            <w:vAlign w:val="center"/>
            <w:hideMark/>
          </w:tcPr>
          <w:p w14:paraId="11942FF5"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0.6696</w:t>
            </w:r>
          </w:p>
        </w:tc>
      </w:tr>
      <w:tr w:rsidR="003A33BA" w:rsidRPr="00CC1F61" w14:paraId="69C2D165" w14:textId="77777777" w:rsidTr="00D61673">
        <w:trPr>
          <w:trHeight w:val="489"/>
        </w:trPr>
        <w:tc>
          <w:tcPr>
            <w:tcW w:w="0" w:type="auto"/>
            <w:vMerge/>
            <w:vAlign w:val="center"/>
            <w:hideMark/>
          </w:tcPr>
          <w:p w14:paraId="16E908B6" w14:textId="77777777" w:rsidR="003A33BA" w:rsidRPr="003A33BA" w:rsidRDefault="003A33BA" w:rsidP="00D61673">
            <w:pPr>
              <w:pStyle w:val="Heading5"/>
              <w:jc w:val="center"/>
              <w:rPr>
                <w:b w:val="0"/>
                <w:color w:val="000000"/>
                <w:sz w:val="20"/>
                <w:szCs w:val="20"/>
              </w:rPr>
            </w:pPr>
          </w:p>
        </w:tc>
        <w:tc>
          <w:tcPr>
            <w:tcW w:w="0" w:type="auto"/>
            <w:vAlign w:val="center"/>
            <w:hideMark/>
          </w:tcPr>
          <w:p w14:paraId="04FFF2FB" w14:textId="77777777" w:rsidR="003A33BA" w:rsidRPr="003A33BA" w:rsidRDefault="003A33BA" w:rsidP="00D61673">
            <w:pPr>
              <w:pStyle w:val="Heading5"/>
              <w:jc w:val="center"/>
              <w:rPr>
                <w:b w:val="0"/>
                <w:color w:val="000000"/>
                <w:sz w:val="20"/>
                <w:szCs w:val="20"/>
              </w:rPr>
            </w:pPr>
            <w:r w:rsidRPr="003A33BA">
              <w:rPr>
                <w:b w:val="0"/>
                <w:color w:val="000000"/>
                <w:sz w:val="20"/>
                <w:szCs w:val="20"/>
              </w:rPr>
              <w:t>99%</w:t>
            </w:r>
          </w:p>
        </w:tc>
        <w:tc>
          <w:tcPr>
            <w:tcW w:w="0" w:type="auto"/>
            <w:vAlign w:val="center"/>
            <w:hideMark/>
          </w:tcPr>
          <w:p w14:paraId="6A1937E2"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0.6564</w:t>
            </w:r>
          </w:p>
        </w:tc>
        <w:tc>
          <w:tcPr>
            <w:tcW w:w="0" w:type="auto"/>
            <w:vAlign w:val="center"/>
            <w:hideMark/>
          </w:tcPr>
          <w:p w14:paraId="6481DBD9"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0.6391</w:t>
            </w:r>
          </w:p>
        </w:tc>
        <w:tc>
          <w:tcPr>
            <w:tcW w:w="0" w:type="auto"/>
            <w:vAlign w:val="center"/>
            <w:hideMark/>
          </w:tcPr>
          <w:p w14:paraId="64DC129C" w14:textId="77777777" w:rsidR="003A33BA" w:rsidRPr="003A33BA" w:rsidRDefault="003A33BA" w:rsidP="00D61673">
            <w:pPr>
              <w:pStyle w:val="Heading5"/>
              <w:jc w:val="center"/>
              <w:rPr>
                <w:b w:val="0"/>
                <w:color w:val="000000"/>
                <w:sz w:val="20"/>
                <w:szCs w:val="20"/>
              </w:rPr>
            </w:pPr>
            <w:r w:rsidRPr="003A33BA">
              <w:rPr>
                <w:b w:val="0"/>
                <w:color w:val="000000"/>
                <w:sz w:val="20"/>
                <w:szCs w:val="20"/>
              </w:rPr>
              <w:t>0.6737</w:t>
            </w:r>
          </w:p>
        </w:tc>
      </w:tr>
    </w:tbl>
    <w:p w14:paraId="34175529" w14:textId="6E12D17A" w:rsidR="00D77DCA" w:rsidRPr="003F29F4" w:rsidRDefault="00D77DCA" w:rsidP="003F29F4">
      <w:pPr>
        <w:pStyle w:val="Caption"/>
        <w:keepNext/>
        <w:rPr>
          <w:rFonts w:ascii="Times New Roman" w:hAnsi="Times New Roman"/>
          <w:b/>
          <w:bCs/>
          <w:i w:val="0"/>
          <w:iCs w:val="0"/>
          <w:color w:val="000000" w:themeColor="text1"/>
          <w:sz w:val="20"/>
          <w:szCs w:val="20"/>
        </w:rPr>
      </w:pPr>
    </w:p>
    <w:p w14:paraId="1EF92384" w14:textId="496702A6" w:rsidR="00D61673" w:rsidRDefault="00492565" w:rsidP="003D352C">
      <w:pPr>
        <w:pStyle w:val="Heading5"/>
      </w:pPr>
      <w:r w:rsidRPr="00492565">
        <w:rPr>
          <w:color w:val="000000"/>
        </w:rPr>
        <w:t>Conclusio</w:t>
      </w:r>
      <w:r w:rsidR="00D61673">
        <w:rPr>
          <w:color w:val="000000"/>
        </w:rPr>
        <w:t>n</w:t>
      </w:r>
    </w:p>
    <w:p w14:paraId="274044E2" w14:textId="1FAFB51B" w:rsidR="00D61673" w:rsidRPr="00D61673" w:rsidRDefault="00D61673" w:rsidP="00D61673">
      <w:pPr>
        <w:pStyle w:val="Heading5"/>
        <w:spacing w:line="360" w:lineRule="auto"/>
        <w:rPr>
          <w:b w:val="0"/>
          <w:bCs/>
        </w:rPr>
      </w:pPr>
      <w:r w:rsidRPr="00D61673">
        <w:rPr>
          <w:b w:val="0"/>
          <w:bCs/>
        </w:rPr>
        <w:t xml:space="preserve">Analysis of 1000 cases of intertrochanteric femur fracture with the help of such CNN, InceptionV3, ResNet50 and ResNet101 models, emphasizes the best indicators of ResNet101, the model has a testing accuracy of 0.8000, precision of 0.8179, recall of 0.8000, and F1 score of 0.7690, but it was the longest training time (1817.57s). Confidence scores of </w:t>
      </w:r>
      <w:r w:rsidRPr="00D61673">
        <w:rPr>
          <w:b w:val="0"/>
          <w:bCs/>
        </w:rPr>
        <w:t>fractures</w:t>
      </w:r>
      <w:r w:rsidRPr="00D61673">
        <w:rPr>
          <w:b w:val="0"/>
          <w:bCs/>
        </w:rPr>
        <w:t xml:space="preserve"> and non-fracture are analyzed statistically with ResNet101 having the highest scores on fracture detection (mean 0.876) and Custom CNN having the highest scores on non-fracture (mean 0.656) with confidence intervals of 90% 99% increasing with higher levels, as in the graph of the sampling distributions. ResNet50 also demonstrates a high level of performance (testing accuracy 0.7786, F1 0.7364), whereas CNN and InceptionV3 are not as impressive in terms of the accuracy value (0.6643 and 0.6857) and F1 score (0.5833 and 0.5906). Such findings indicate that ResNet101 and ResNet50 are the most consistent at clinical diagnosis, which remains to be verified on real data.</w:t>
      </w:r>
    </w:p>
    <w:p w14:paraId="669B9526" w14:textId="6BED3362" w:rsidR="00D61673" w:rsidRDefault="00D61673" w:rsidP="003D352C">
      <w:pPr>
        <w:pStyle w:val="Heading5"/>
      </w:pPr>
      <w:r>
        <w:t>References</w:t>
      </w:r>
    </w:p>
    <w:p w14:paraId="35CA4AD8"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Mundi, S., </w:t>
      </w:r>
      <w:proofErr w:type="spellStart"/>
      <w:r w:rsidRPr="00D61673">
        <w:rPr>
          <w:rFonts w:ascii="Times New Roman" w:hAnsi="Times New Roman"/>
          <w:sz w:val="22"/>
          <w:szCs w:val="24"/>
        </w:rPr>
        <w:t>Pindiprolu</w:t>
      </w:r>
      <w:proofErr w:type="spellEnd"/>
      <w:r w:rsidRPr="00D61673">
        <w:rPr>
          <w:rFonts w:ascii="Times New Roman" w:hAnsi="Times New Roman"/>
          <w:sz w:val="22"/>
          <w:szCs w:val="24"/>
        </w:rPr>
        <w:t xml:space="preserve">, B., Simunovic, N., &amp; Bhandari, M. (2014). Similar mortality rates in hip fracture patients: The influence of age, comorbidity, and time to surgery. </w:t>
      </w:r>
      <w:r w:rsidRPr="00D61673">
        <w:rPr>
          <w:rFonts w:ascii="Times New Roman" w:hAnsi="Times New Roman"/>
          <w:i/>
          <w:iCs/>
          <w:sz w:val="22"/>
          <w:szCs w:val="24"/>
        </w:rPr>
        <w:t xml:space="preserve">Clinical </w:t>
      </w:r>
      <w:proofErr w:type="spellStart"/>
      <w:r w:rsidRPr="00D61673">
        <w:rPr>
          <w:rFonts w:ascii="Times New Roman" w:hAnsi="Times New Roman"/>
          <w:i/>
          <w:iCs/>
          <w:sz w:val="22"/>
          <w:szCs w:val="24"/>
        </w:rPr>
        <w:t>Orthopaedics</w:t>
      </w:r>
      <w:proofErr w:type="spellEnd"/>
      <w:r w:rsidRPr="00D61673">
        <w:rPr>
          <w:rFonts w:ascii="Times New Roman" w:hAnsi="Times New Roman"/>
          <w:i/>
          <w:iCs/>
          <w:sz w:val="22"/>
          <w:szCs w:val="24"/>
        </w:rPr>
        <w:t xml:space="preserve"> and Related Research</w:t>
      </w:r>
      <w:r w:rsidRPr="00D61673">
        <w:rPr>
          <w:rFonts w:ascii="Times New Roman" w:hAnsi="Times New Roman"/>
          <w:sz w:val="22"/>
          <w:szCs w:val="24"/>
        </w:rPr>
        <w:t>, 472(3), 855–861. https://doi.org/10.1007/s11999-013-3217-8</w:t>
      </w:r>
    </w:p>
    <w:p w14:paraId="2CA61836"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Kannegaard, P. N., van der Mark, S., Eiken, P., &amp; Abrahamsen, B. (2010). Excess mortality in men compared with women following a hip fracture: National cohort study. </w:t>
      </w:r>
      <w:r w:rsidRPr="00D61673">
        <w:rPr>
          <w:rFonts w:ascii="Times New Roman" w:hAnsi="Times New Roman"/>
          <w:i/>
          <w:iCs/>
          <w:sz w:val="22"/>
          <w:szCs w:val="24"/>
        </w:rPr>
        <w:t>Bone</w:t>
      </w:r>
      <w:r w:rsidRPr="00D61673">
        <w:rPr>
          <w:rFonts w:ascii="Times New Roman" w:hAnsi="Times New Roman"/>
          <w:sz w:val="22"/>
          <w:szCs w:val="24"/>
        </w:rPr>
        <w:t>, 47(5), 891–897. https://doi.org/10.1016/j.bone.2010.07.008</w:t>
      </w:r>
    </w:p>
    <w:p w14:paraId="7AFB9DFD"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Lindsey, R., </w:t>
      </w:r>
      <w:proofErr w:type="spellStart"/>
      <w:r w:rsidRPr="00D61673">
        <w:rPr>
          <w:rFonts w:ascii="Times New Roman" w:hAnsi="Times New Roman"/>
          <w:sz w:val="22"/>
          <w:szCs w:val="24"/>
        </w:rPr>
        <w:t>Daluiski</w:t>
      </w:r>
      <w:proofErr w:type="spellEnd"/>
      <w:r w:rsidRPr="00D61673">
        <w:rPr>
          <w:rFonts w:ascii="Times New Roman" w:hAnsi="Times New Roman"/>
          <w:sz w:val="22"/>
          <w:szCs w:val="24"/>
        </w:rPr>
        <w:t xml:space="preserve">, A., Zhao, S., &amp; Chopra, S. (2018). Deep neural network improves fracture detection by clinicians. </w:t>
      </w:r>
      <w:r w:rsidRPr="00D61673">
        <w:rPr>
          <w:rFonts w:ascii="Times New Roman" w:hAnsi="Times New Roman"/>
          <w:i/>
          <w:iCs/>
          <w:sz w:val="22"/>
          <w:szCs w:val="24"/>
        </w:rPr>
        <w:t>Proceedings of the National Academy of Sciences</w:t>
      </w:r>
      <w:r w:rsidRPr="00D61673">
        <w:rPr>
          <w:rFonts w:ascii="Times New Roman" w:hAnsi="Times New Roman"/>
          <w:sz w:val="22"/>
          <w:szCs w:val="24"/>
        </w:rPr>
        <w:t>, 115(45), 11591–11596. https://doi.org/10.1073/pnas.1806905115</w:t>
      </w:r>
    </w:p>
    <w:p w14:paraId="21E8F2F7"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Rajpurkar, P., Irvin, J., Bagul, A., et al. (2017). MURA: Large dataset for abnormality detection in musculoskeletal radiographs. </w:t>
      </w:r>
      <w:proofErr w:type="spellStart"/>
      <w:r w:rsidRPr="00D61673">
        <w:rPr>
          <w:rFonts w:ascii="Times New Roman" w:hAnsi="Times New Roman"/>
          <w:i/>
          <w:iCs/>
          <w:sz w:val="22"/>
          <w:szCs w:val="24"/>
        </w:rPr>
        <w:t>arXiv</w:t>
      </w:r>
      <w:proofErr w:type="spellEnd"/>
      <w:r w:rsidRPr="00D61673">
        <w:rPr>
          <w:rFonts w:ascii="Times New Roman" w:hAnsi="Times New Roman"/>
          <w:i/>
          <w:iCs/>
          <w:sz w:val="22"/>
          <w:szCs w:val="24"/>
        </w:rPr>
        <w:t xml:space="preserve"> preprint arXiv:1712.06957</w:t>
      </w:r>
      <w:r w:rsidRPr="00D61673">
        <w:rPr>
          <w:rFonts w:ascii="Times New Roman" w:hAnsi="Times New Roman"/>
          <w:sz w:val="22"/>
          <w:szCs w:val="24"/>
        </w:rPr>
        <w:t>. https://arxiv.org/abs/1712.06957</w:t>
      </w:r>
    </w:p>
    <w:p w14:paraId="00BDB18B"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He, K., Zhang, X., Ren, S., &amp; Sun, J. (2016). Deep residual learning for image recognition. </w:t>
      </w:r>
      <w:r w:rsidRPr="00D61673">
        <w:rPr>
          <w:rFonts w:ascii="Times New Roman" w:hAnsi="Times New Roman"/>
          <w:i/>
          <w:iCs/>
          <w:sz w:val="22"/>
          <w:szCs w:val="24"/>
        </w:rPr>
        <w:t>Proceedings of the IEEE Conference on Computer Vision and Pattern Recognition (CVPR)</w:t>
      </w:r>
      <w:r w:rsidRPr="00D61673">
        <w:rPr>
          <w:rFonts w:ascii="Times New Roman" w:hAnsi="Times New Roman"/>
          <w:sz w:val="22"/>
          <w:szCs w:val="24"/>
        </w:rPr>
        <w:t>, 770–778. https://doi.org/10.1109/CVPR.2016.90</w:t>
      </w:r>
    </w:p>
    <w:p w14:paraId="0850E3BD"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Szegedy, C., </w:t>
      </w:r>
      <w:proofErr w:type="spellStart"/>
      <w:r w:rsidRPr="00D61673">
        <w:rPr>
          <w:rFonts w:ascii="Times New Roman" w:hAnsi="Times New Roman"/>
          <w:sz w:val="22"/>
          <w:szCs w:val="24"/>
        </w:rPr>
        <w:t>Vanhoucke</w:t>
      </w:r>
      <w:proofErr w:type="spellEnd"/>
      <w:r w:rsidRPr="00D61673">
        <w:rPr>
          <w:rFonts w:ascii="Times New Roman" w:hAnsi="Times New Roman"/>
          <w:sz w:val="22"/>
          <w:szCs w:val="24"/>
        </w:rPr>
        <w:t xml:space="preserve">, V., Ioffe, S., </w:t>
      </w:r>
      <w:proofErr w:type="spellStart"/>
      <w:r w:rsidRPr="00D61673">
        <w:rPr>
          <w:rFonts w:ascii="Times New Roman" w:hAnsi="Times New Roman"/>
          <w:sz w:val="22"/>
          <w:szCs w:val="24"/>
        </w:rPr>
        <w:t>Shlens</w:t>
      </w:r>
      <w:proofErr w:type="spellEnd"/>
      <w:r w:rsidRPr="00D61673">
        <w:rPr>
          <w:rFonts w:ascii="Times New Roman" w:hAnsi="Times New Roman"/>
          <w:sz w:val="22"/>
          <w:szCs w:val="24"/>
        </w:rPr>
        <w:t xml:space="preserve">, J., &amp; </w:t>
      </w:r>
      <w:proofErr w:type="spellStart"/>
      <w:r w:rsidRPr="00D61673">
        <w:rPr>
          <w:rFonts w:ascii="Times New Roman" w:hAnsi="Times New Roman"/>
          <w:sz w:val="22"/>
          <w:szCs w:val="24"/>
        </w:rPr>
        <w:t>Wojna</w:t>
      </w:r>
      <w:proofErr w:type="spellEnd"/>
      <w:r w:rsidRPr="00D61673">
        <w:rPr>
          <w:rFonts w:ascii="Times New Roman" w:hAnsi="Times New Roman"/>
          <w:sz w:val="22"/>
          <w:szCs w:val="24"/>
        </w:rPr>
        <w:t xml:space="preserve">, Z. (2016). Rethinking the inception architecture for computer vision. </w:t>
      </w:r>
      <w:r w:rsidRPr="00D61673">
        <w:rPr>
          <w:rFonts w:ascii="Times New Roman" w:hAnsi="Times New Roman"/>
          <w:i/>
          <w:iCs/>
          <w:sz w:val="22"/>
          <w:szCs w:val="24"/>
        </w:rPr>
        <w:t>Proceedings of the IEEE Conference on Computer Vision and Pattern Recognition (CVPR)</w:t>
      </w:r>
      <w:r w:rsidRPr="00D61673">
        <w:rPr>
          <w:rFonts w:ascii="Times New Roman" w:hAnsi="Times New Roman"/>
          <w:sz w:val="22"/>
          <w:szCs w:val="24"/>
        </w:rPr>
        <w:t>, 2818–2826. https://doi.org/10.1109/CVPR.2016.308</w:t>
      </w:r>
    </w:p>
    <w:p w14:paraId="223D6CA8" w14:textId="77777777" w:rsidR="00D61673" w:rsidRPr="00D61673" w:rsidRDefault="00D61673" w:rsidP="00CC1F61">
      <w:pPr>
        <w:numPr>
          <w:ilvl w:val="0"/>
          <w:numId w:val="8"/>
        </w:numPr>
        <w:spacing w:line="360" w:lineRule="auto"/>
        <w:rPr>
          <w:rFonts w:ascii="Times New Roman" w:hAnsi="Times New Roman"/>
          <w:sz w:val="22"/>
          <w:szCs w:val="24"/>
        </w:rPr>
      </w:pPr>
      <w:r w:rsidRPr="00D61673">
        <w:rPr>
          <w:rFonts w:ascii="Times New Roman" w:hAnsi="Times New Roman"/>
          <w:sz w:val="22"/>
          <w:szCs w:val="24"/>
        </w:rPr>
        <w:t xml:space="preserve">Adams, M., Chen, W., </w:t>
      </w:r>
      <w:proofErr w:type="spellStart"/>
      <w:r w:rsidRPr="00D61673">
        <w:rPr>
          <w:rFonts w:ascii="Times New Roman" w:hAnsi="Times New Roman"/>
          <w:sz w:val="22"/>
          <w:szCs w:val="24"/>
        </w:rPr>
        <w:t>Holcdorf</w:t>
      </w:r>
      <w:proofErr w:type="spellEnd"/>
      <w:r w:rsidRPr="00D61673">
        <w:rPr>
          <w:rFonts w:ascii="Times New Roman" w:hAnsi="Times New Roman"/>
          <w:sz w:val="22"/>
          <w:szCs w:val="24"/>
        </w:rPr>
        <w:t xml:space="preserve">, D., McCusker, M. W., &amp; Howe, P. (2019). Computer vs human: Deep learning versus human performance in detecting hip fractures on pelvic radiographs. </w:t>
      </w:r>
      <w:r w:rsidRPr="00D61673">
        <w:rPr>
          <w:rFonts w:ascii="Times New Roman" w:hAnsi="Times New Roman"/>
          <w:i/>
          <w:iCs/>
          <w:sz w:val="22"/>
          <w:szCs w:val="24"/>
        </w:rPr>
        <w:t>Journal of Medical Imaging</w:t>
      </w:r>
      <w:r w:rsidRPr="00D61673">
        <w:rPr>
          <w:rFonts w:ascii="Times New Roman" w:hAnsi="Times New Roman"/>
          <w:sz w:val="22"/>
          <w:szCs w:val="24"/>
        </w:rPr>
        <w:t>, 6(4), 044501. https://doi.org/10.1117/1.JMI.6.4.044501</w:t>
      </w:r>
    </w:p>
    <w:p w14:paraId="785D7710" w14:textId="77777777" w:rsidR="00D61673" w:rsidRPr="00CC1F61" w:rsidRDefault="00D61673" w:rsidP="00CC1F61">
      <w:pPr>
        <w:spacing w:line="360" w:lineRule="auto"/>
        <w:rPr>
          <w:rFonts w:ascii="Times New Roman" w:hAnsi="Times New Roman"/>
          <w:sz w:val="22"/>
          <w:szCs w:val="24"/>
        </w:rPr>
      </w:pPr>
    </w:p>
    <w:sectPr w:rsidR="00D61673" w:rsidRPr="00CC1F61" w:rsidSect="00F479DD">
      <w:headerReference w:type="default" r:id="rId10"/>
      <w:footerReference w:type="default" r:id="rId11"/>
      <w:pgSz w:w="11907" w:h="16839" w:code="9"/>
      <w:pgMar w:top="1440" w:right="1440" w:bottom="1440" w:left="1440" w:header="720" w:footer="567" w:gutter="0"/>
      <w:pgNumType w:start="1"/>
      <w:cols w:space="72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21B5E" w14:textId="77777777" w:rsidR="00960AB4" w:rsidRDefault="00960AB4">
      <w:pPr>
        <w:spacing w:line="240" w:lineRule="auto"/>
      </w:pPr>
      <w:r>
        <w:separator/>
      </w:r>
    </w:p>
  </w:endnote>
  <w:endnote w:type="continuationSeparator" w:id="0">
    <w:p w14:paraId="43671FF5" w14:textId="77777777" w:rsidR="00960AB4" w:rsidRDefault="00960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skoola Pota">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no Pro">
    <w:altName w:val="Cambria"/>
    <w:panose1 w:val="00000000000000000000"/>
    <w:charset w:val="00"/>
    <w:family w:val="roman"/>
    <w:notTrueType/>
    <w:pitch w:val="variable"/>
    <w:sig w:usb0="6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18"/>
      </w:rPr>
      <w:id w:val="-374550537"/>
      <w:docPartObj>
        <w:docPartGallery w:val="Page Numbers (Bottom of Page)"/>
        <w:docPartUnique/>
      </w:docPartObj>
    </w:sdtPr>
    <w:sdtEndPr>
      <w:rPr>
        <w:rFonts w:ascii="Palatino" w:hAnsi="Palatino"/>
        <w:noProof/>
        <w:sz w:val="19"/>
      </w:rPr>
    </w:sdtEndPr>
    <w:sdtContent>
      <w:p w14:paraId="644E306B" w14:textId="755917C6" w:rsidR="00974C0D" w:rsidRPr="0005647E" w:rsidRDefault="00974C0D" w:rsidP="0005647E">
        <w:pPr>
          <w:pBdr>
            <w:top w:val="nil"/>
            <w:left w:val="nil"/>
            <w:bottom w:val="nil"/>
            <w:right w:val="nil"/>
            <w:between w:val="nil"/>
          </w:pBdr>
          <w:tabs>
            <w:tab w:val="center" w:pos="4680"/>
            <w:tab w:val="right" w:pos="9360"/>
          </w:tabs>
          <w:spacing w:line="240" w:lineRule="auto"/>
          <w:jc w:val="left"/>
          <w:rPr>
            <w:rFonts w:ascii="Times New Roman" w:eastAsia="Palatino" w:hAnsi="Times New Roman"/>
            <w:color w:val="000000"/>
            <w:sz w:val="18"/>
            <w:szCs w:val="19"/>
          </w:rPr>
        </w:pPr>
        <w:r w:rsidRPr="0005647E">
          <w:rPr>
            <w:rFonts w:ascii="Times New Roman" w:hAnsi="Times New Roman"/>
            <w:sz w:val="18"/>
          </w:rPr>
          <w:t xml:space="preserve"> </w:t>
        </w:r>
        <w:r w:rsidR="00493E09" w:rsidRPr="0005647E">
          <w:rPr>
            <w:rFonts w:ascii="Times New Roman" w:hAnsi="Times New Roman"/>
            <w:sz w:val="18"/>
          </w:rPr>
          <w:t>International Conference on Innovation and Emerging Technologies 202</w:t>
        </w:r>
        <w:r w:rsidR="00B23708">
          <w:rPr>
            <w:rFonts w:ascii="Times New Roman" w:hAnsi="Times New Roman"/>
            <w:sz w:val="18"/>
          </w:rPr>
          <w:t>5</w:t>
        </w:r>
      </w:p>
      <w:p w14:paraId="55AF2FFB" w14:textId="0EF5ACBF" w:rsidR="00974C0D" w:rsidRDefault="00000000" w:rsidP="00F479DD">
        <w:pPr>
          <w:pStyle w:val="Footer"/>
          <w:jc w:val="center"/>
        </w:pPr>
      </w:p>
    </w:sdtContent>
  </w:sdt>
  <w:p w14:paraId="05037A69" w14:textId="77777777" w:rsidR="00974C0D" w:rsidRPr="00105EC3" w:rsidRDefault="00974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7A67B" w14:textId="77777777" w:rsidR="00960AB4" w:rsidRDefault="00960AB4">
      <w:pPr>
        <w:spacing w:line="240" w:lineRule="auto"/>
      </w:pPr>
      <w:r>
        <w:separator/>
      </w:r>
    </w:p>
  </w:footnote>
  <w:footnote w:type="continuationSeparator" w:id="0">
    <w:p w14:paraId="4FBBB94D" w14:textId="77777777" w:rsidR="00960AB4" w:rsidRDefault="00960A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6223" w14:textId="1BFA6565" w:rsidR="00AE7292" w:rsidRDefault="00B23708" w:rsidP="00F479DD">
    <w:pPr>
      <w:pStyle w:val="Header"/>
      <w:jc w:val="left"/>
    </w:pPr>
    <w:r>
      <w:rPr>
        <w:noProof/>
      </w:rPr>
      <w:drawing>
        <wp:anchor distT="0" distB="0" distL="114300" distR="114300" simplePos="0" relativeHeight="251659776" behindDoc="0" locked="0" layoutInCell="1" allowOverlap="1" wp14:anchorId="32EBB15D" wp14:editId="0CFD4E90">
          <wp:simplePos x="0" y="0"/>
          <wp:positionH relativeFrom="margin">
            <wp:align>left</wp:align>
          </wp:positionH>
          <wp:positionV relativeFrom="paragraph">
            <wp:posOffset>-68580</wp:posOffset>
          </wp:positionV>
          <wp:extent cx="1058409" cy="455630"/>
          <wp:effectExtent l="0" t="0" r="8890" b="1905"/>
          <wp:wrapNone/>
          <wp:docPr id="104301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9" cy="455630"/>
                  </a:xfrm>
                  <a:prstGeom prst="rect">
                    <a:avLst/>
                  </a:prstGeom>
                  <a:noFill/>
                  <a:ln>
                    <a:noFill/>
                  </a:ln>
                </pic:spPr>
              </pic:pic>
            </a:graphicData>
          </a:graphic>
        </wp:anchor>
      </w:drawing>
    </w:r>
    <w:r w:rsidR="00AE7292">
      <w:t xml:space="preserve">                                 </w:t>
    </w:r>
  </w:p>
  <w:p w14:paraId="74C6DF7E" w14:textId="191E97C5" w:rsidR="00ED590A" w:rsidRPr="004F6463" w:rsidRDefault="004F6463" w:rsidP="00F479DD">
    <w:pPr>
      <w:pStyle w:val="Header"/>
      <w:jc w:val="right"/>
      <w:rPr>
        <w:rFonts w:ascii="Times New Roman" w:hAnsi="Times New Roman"/>
        <w:sz w:val="22"/>
        <w:szCs w:val="22"/>
      </w:rPr>
    </w:pPr>
    <w:r w:rsidRPr="004F6463">
      <w:rPr>
        <w:rFonts w:ascii="Times New Roman" w:hAnsi="Times New Roman"/>
        <w:sz w:val="22"/>
        <w:szCs w:val="22"/>
      </w:rPr>
      <w:t>ICIET/Track Name/</w:t>
    </w:r>
    <w:r w:rsidR="00A8499E" w:rsidRPr="004F6463">
      <w:rPr>
        <w:rFonts w:ascii="Times New Roman" w:hAnsi="Times New Roman"/>
        <w:sz w:val="22"/>
        <w:szCs w:val="22"/>
      </w:rPr>
      <w:t>202</w:t>
    </w:r>
    <w:r w:rsidR="00B23708">
      <w:rPr>
        <w:rFonts w:ascii="Times New Roman" w:hAnsi="Times New Roman"/>
        <w:sz w:val="22"/>
        <w:szCs w:val="22"/>
      </w:rPr>
      <w:t>5</w:t>
    </w:r>
    <w:r w:rsidRPr="004F6463">
      <w:rPr>
        <w:rFonts w:ascii="Times New Roman" w:hAnsi="Times New Roman"/>
        <w:sz w:val="22"/>
        <w:szCs w:val="22"/>
      </w:rPr>
      <w:t>/999</w:t>
    </w:r>
  </w:p>
  <w:p w14:paraId="0000005E" w14:textId="77777777" w:rsidR="00974C0D" w:rsidRPr="00F92F0C" w:rsidRDefault="00974C0D">
    <w:pPr>
      <w:pBdr>
        <w:top w:val="nil"/>
        <w:left w:val="nil"/>
        <w:bottom w:val="nil"/>
        <w:right w:val="nil"/>
        <w:between w:val="nil"/>
      </w:pBdr>
      <w:tabs>
        <w:tab w:val="center" w:pos="4680"/>
        <w:tab w:val="right" w:pos="9360"/>
      </w:tabs>
      <w:spacing w:line="240" w:lineRule="auto"/>
      <w:rPr>
        <w:rFonts w:eastAsia="Palatino" w:cs="Palatino"/>
        <w:color w:val="000000"/>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132"/>
    <w:multiLevelType w:val="hybridMultilevel"/>
    <w:tmpl w:val="723E4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94ADB"/>
    <w:multiLevelType w:val="multilevel"/>
    <w:tmpl w:val="0104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F4B83"/>
    <w:multiLevelType w:val="hybridMultilevel"/>
    <w:tmpl w:val="37FA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E6517"/>
    <w:multiLevelType w:val="hybridMultilevel"/>
    <w:tmpl w:val="D980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12FA8"/>
    <w:multiLevelType w:val="hybridMultilevel"/>
    <w:tmpl w:val="0E448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82DD6"/>
    <w:multiLevelType w:val="multilevel"/>
    <w:tmpl w:val="4D5ADC4E"/>
    <w:lvl w:ilvl="0">
      <w:start w:val="1"/>
      <w:numFmt w:val="decimal"/>
      <w:lvlText w:val="[%1]"/>
      <w:lvlJc w:val="left"/>
      <w:pPr>
        <w:tabs>
          <w:tab w:val="num" w:pos="360"/>
        </w:tabs>
        <w:ind w:left="360" w:hanging="360"/>
      </w:pPr>
      <w:rPr>
        <w:rFonts w:hint="default"/>
        <w:sz w:val="2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17251F7"/>
    <w:multiLevelType w:val="hybridMultilevel"/>
    <w:tmpl w:val="94AAB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152B7"/>
    <w:multiLevelType w:val="hybridMultilevel"/>
    <w:tmpl w:val="18861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143615">
    <w:abstractNumId w:val="3"/>
  </w:num>
  <w:num w:numId="2" w16cid:durableId="295839726">
    <w:abstractNumId w:val="6"/>
  </w:num>
  <w:num w:numId="3" w16cid:durableId="1495797610">
    <w:abstractNumId w:val="4"/>
  </w:num>
  <w:num w:numId="4" w16cid:durableId="1276673105">
    <w:abstractNumId w:val="0"/>
  </w:num>
  <w:num w:numId="5" w16cid:durableId="371803295">
    <w:abstractNumId w:val="2"/>
  </w:num>
  <w:num w:numId="6" w16cid:durableId="1704137551">
    <w:abstractNumId w:val="7"/>
  </w:num>
  <w:num w:numId="7" w16cid:durableId="1184243719">
    <w:abstractNumId w:val="1"/>
  </w:num>
  <w:num w:numId="8" w16cid:durableId="9208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2NzM0NDQ3tjQwMTFU0lEKTi0uzszPAykwrAUArpuQrSwAAAA="/>
  </w:docVars>
  <w:rsids>
    <w:rsidRoot w:val="00064633"/>
    <w:rsid w:val="00004589"/>
    <w:rsid w:val="00037431"/>
    <w:rsid w:val="00050E33"/>
    <w:rsid w:val="0005647E"/>
    <w:rsid w:val="00061091"/>
    <w:rsid w:val="00064633"/>
    <w:rsid w:val="0006660F"/>
    <w:rsid w:val="000C3201"/>
    <w:rsid w:val="000F232D"/>
    <w:rsid w:val="00104735"/>
    <w:rsid w:val="00105EC3"/>
    <w:rsid w:val="00146268"/>
    <w:rsid w:val="0018055F"/>
    <w:rsid w:val="001D36B1"/>
    <w:rsid w:val="001E221D"/>
    <w:rsid w:val="0025303B"/>
    <w:rsid w:val="00290944"/>
    <w:rsid w:val="00292108"/>
    <w:rsid w:val="002A57BA"/>
    <w:rsid w:val="002B75C1"/>
    <w:rsid w:val="002F511A"/>
    <w:rsid w:val="00302035"/>
    <w:rsid w:val="003057B3"/>
    <w:rsid w:val="003206A7"/>
    <w:rsid w:val="003339F2"/>
    <w:rsid w:val="0033752D"/>
    <w:rsid w:val="003515B4"/>
    <w:rsid w:val="003A0D64"/>
    <w:rsid w:val="003A33BA"/>
    <w:rsid w:val="003B742D"/>
    <w:rsid w:val="003C11FF"/>
    <w:rsid w:val="003D352C"/>
    <w:rsid w:val="003D58F5"/>
    <w:rsid w:val="003E7936"/>
    <w:rsid w:val="003F29F4"/>
    <w:rsid w:val="00414868"/>
    <w:rsid w:val="00447D8E"/>
    <w:rsid w:val="004506D8"/>
    <w:rsid w:val="0047400F"/>
    <w:rsid w:val="00492565"/>
    <w:rsid w:val="00493E09"/>
    <w:rsid w:val="004E1550"/>
    <w:rsid w:val="004F4A57"/>
    <w:rsid w:val="004F6463"/>
    <w:rsid w:val="005006AF"/>
    <w:rsid w:val="005275C2"/>
    <w:rsid w:val="00533E4F"/>
    <w:rsid w:val="005358EF"/>
    <w:rsid w:val="00536AAF"/>
    <w:rsid w:val="00537836"/>
    <w:rsid w:val="005473DC"/>
    <w:rsid w:val="00564D3D"/>
    <w:rsid w:val="00577028"/>
    <w:rsid w:val="005E6F5B"/>
    <w:rsid w:val="005F6005"/>
    <w:rsid w:val="005F7765"/>
    <w:rsid w:val="006069DC"/>
    <w:rsid w:val="006124B5"/>
    <w:rsid w:val="0063381C"/>
    <w:rsid w:val="00650863"/>
    <w:rsid w:val="0066432D"/>
    <w:rsid w:val="00692AEE"/>
    <w:rsid w:val="006C4F37"/>
    <w:rsid w:val="006C5A1A"/>
    <w:rsid w:val="006C7047"/>
    <w:rsid w:val="006D0B07"/>
    <w:rsid w:val="006E3557"/>
    <w:rsid w:val="006F6E9A"/>
    <w:rsid w:val="006F7DD9"/>
    <w:rsid w:val="007013B0"/>
    <w:rsid w:val="00704888"/>
    <w:rsid w:val="007D32BD"/>
    <w:rsid w:val="008079BF"/>
    <w:rsid w:val="0084756F"/>
    <w:rsid w:val="0085603E"/>
    <w:rsid w:val="00890F08"/>
    <w:rsid w:val="008A3D6E"/>
    <w:rsid w:val="008B03DC"/>
    <w:rsid w:val="008C50B3"/>
    <w:rsid w:val="008F2549"/>
    <w:rsid w:val="00900ACD"/>
    <w:rsid w:val="009152E9"/>
    <w:rsid w:val="00920B14"/>
    <w:rsid w:val="00950701"/>
    <w:rsid w:val="00960AB4"/>
    <w:rsid w:val="00974C0D"/>
    <w:rsid w:val="009C6AA2"/>
    <w:rsid w:val="009E2828"/>
    <w:rsid w:val="009F2F71"/>
    <w:rsid w:val="00A145AE"/>
    <w:rsid w:val="00A401B7"/>
    <w:rsid w:val="00A51B60"/>
    <w:rsid w:val="00A52CAD"/>
    <w:rsid w:val="00A67C15"/>
    <w:rsid w:val="00A8499E"/>
    <w:rsid w:val="00A92A72"/>
    <w:rsid w:val="00AE7292"/>
    <w:rsid w:val="00B23708"/>
    <w:rsid w:val="00BA1B30"/>
    <w:rsid w:val="00C21E20"/>
    <w:rsid w:val="00C31160"/>
    <w:rsid w:val="00C314EB"/>
    <w:rsid w:val="00C35955"/>
    <w:rsid w:val="00C51006"/>
    <w:rsid w:val="00C57BE4"/>
    <w:rsid w:val="00C80176"/>
    <w:rsid w:val="00C9185A"/>
    <w:rsid w:val="00C93E8B"/>
    <w:rsid w:val="00CA47EE"/>
    <w:rsid w:val="00CB1959"/>
    <w:rsid w:val="00CC1F61"/>
    <w:rsid w:val="00D02091"/>
    <w:rsid w:val="00D021A5"/>
    <w:rsid w:val="00D03564"/>
    <w:rsid w:val="00D07C9F"/>
    <w:rsid w:val="00D16B9F"/>
    <w:rsid w:val="00D61673"/>
    <w:rsid w:val="00D621D7"/>
    <w:rsid w:val="00D66587"/>
    <w:rsid w:val="00D67CF2"/>
    <w:rsid w:val="00D74C0C"/>
    <w:rsid w:val="00D755B6"/>
    <w:rsid w:val="00D77DCA"/>
    <w:rsid w:val="00D8324D"/>
    <w:rsid w:val="00D95380"/>
    <w:rsid w:val="00DF7374"/>
    <w:rsid w:val="00E10C93"/>
    <w:rsid w:val="00E1633B"/>
    <w:rsid w:val="00EA1A0B"/>
    <w:rsid w:val="00ED590A"/>
    <w:rsid w:val="00ED5922"/>
    <w:rsid w:val="00EF48D8"/>
    <w:rsid w:val="00F2341C"/>
    <w:rsid w:val="00F479DD"/>
    <w:rsid w:val="00F624FF"/>
    <w:rsid w:val="00F92F0C"/>
    <w:rsid w:val="00FF0CA2"/>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B790828"/>
  <w15:docId w15:val="{006ABB50-616F-4006-BAFF-1127FA18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w:eastAsiaTheme="minorEastAsia" w:hAnsi="Palatino" w:cs="Palatino"/>
        <w:sz w:val="19"/>
        <w:szCs w:val="19"/>
        <w:lang w:val="en-US" w:eastAsia="ja-JP" w:bidi="si-LK"/>
      </w:rPr>
    </w:rPrDefault>
    <w:pPrDefault>
      <w:pPr>
        <w:widowControl w:val="0"/>
        <w:spacing w:line="23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035"/>
    <w:pPr>
      <w:spacing w:line="230" w:lineRule="exact"/>
    </w:pPr>
    <w:rPr>
      <w:rFonts w:eastAsia="Times New Roman" w:cs="Times New Roman"/>
      <w:kern w:val="16"/>
      <w:szCs w:val="20"/>
    </w:rPr>
  </w:style>
  <w:style w:type="paragraph" w:styleId="Heading1">
    <w:name w:val="heading 1"/>
    <w:aliases w:val="3. Author Affiliations"/>
    <w:basedOn w:val="Normal"/>
    <w:next w:val="Normal"/>
    <w:link w:val="Heading1Char"/>
    <w:uiPriority w:val="9"/>
    <w:qFormat/>
    <w:rsid w:val="00146268"/>
    <w:pPr>
      <w:keepNext/>
      <w:keepLines/>
      <w:spacing w:before="240" w:line="240" w:lineRule="auto"/>
      <w:jc w:val="center"/>
      <w:outlineLvl w:val="0"/>
    </w:pPr>
    <w:rPr>
      <w:rFonts w:ascii="Times New Roman" w:eastAsiaTheme="majorEastAsia" w:hAnsi="Times New Roman" w:cstheme="majorBidi"/>
      <w:i/>
      <w:sz w:val="22"/>
      <w:szCs w:val="32"/>
    </w:rPr>
  </w:style>
  <w:style w:type="paragraph" w:styleId="Heading2">
    <w:name w:val="heading 2"/>
    <w:aliases w:val="4. Email correspondence"/>
    <w:basedOn w:val="ABSTRACT"/>
    <w:next w:val="BodyText"/>
    <w:link w:val="Heading2Char"/>
    <w:uiPriority w:val="9"/>
    <w:unhideWhenUsed/>
    <w:qFormat/>
    <w:rsid w:val="003D352C"/>
    <w:pPr>
      <w:keepNext/>
      <w:keepLines/>
      <w:spacing w:before="240" w:after="0" w:line="240" w:lineRule="auto"/>
      <w:ind w:left="0" w:right="0"/>
      <w:jc w:val="center"/>
      <w:outlineLvl w:val="1"/>
    </w:pPr>
    <w:rPr>
      <w:rFonts w:ascii="Times New Roman" w:eastAsiaTheme="majorEastAsia" w:hAnsi="Times New Roman" w:cstheme="majorBidi"/>
      <w:i/>
      <w:color w:val="000000" w:themeColor="text1"/>
      <w:sz w:val="22"/>
      <w:szCs w:val="26"/>
    </w:rPr>
  </w:style>
  <w:style w:type="paragraph" w:styleId="Heading3">
    <w:name w:val="heading 3"/>
    <w:aliases w:val="7. Figure and Table caption"/>
    <w:basedOn w:val="Normal"/>
    <w:next w:val="Normal"/>
    <w:link w:val="Heading3Char"/>
    <w:uiPriority w:val="9"/>
    <w:unhideWhenUsed/>
    <w:qFormat/>
    <w:rsid w:val="00146268"/>
    <w:pPr>
      <w:keepNext/>
      <w:keepLines/>
      <w:spacing w:before="240" w:line="360" w:lineRule="auto"/>
      <w:outlineLvl w:val="2"/>
    </w:pPr>
    <w:rPr>
      <w:rFonts w:ascii="Times New Roman" w:eastAsiaTheme="majorEastAsia" w:hAnsi="Times New Roman" w:cstheme="majorBidi"/>
      <w:b/>
      <w:color w:val="000000" w:themeColor="text1"/>
      <w:sz w:val="22"/>
      <w:szCs w:val="24"/>
    </w:rPr>
  </w:style>
  <w:style w:type="paragraph" w:styleId="Heading4">
    <w:name w:val="heading 4"/>
    <w:aliases w:val="Body Text all"/>
    <w:basedOn w:val="Normal"/>
    <w:next w:val="Normal"/>
    <w:link w:val="Heading4Char"/>
    <w:uiPriority w:val="9"/>
    <w:unhideWhenUsed/>
    <w:rsid w:val="003D352C"/>
    <w:pPr>
      <w:keepNext/>
      <w:keepLines/>
      <w:spacing w:before="240" w:line="360" w:lineRule="auto"/>
      <w:outlineLvl w:val="3"/>
      <w15:collapsed/>
    </w:pPr>
    <w:rPr>
      <w:rFonts w:ascii="Times New Roman" w:eastAsiaTheme="majorEastAsia" w:hAnsi="Times New Roman" w:cstheme="majorBidi"/>
      <w:iCs/>
      <w:color w:val="000000" w:themeColor="text1"/>
      <w:sz w:val="22"/>
    </w:rPr>
  </w:style>
  <w:style w:type="paragraph" w:styleId="Heading5">
    <w:name w:val="heading 5"/>
    <w:aliases w:val="5. LV  2 Headings"/>
    <w:basedOn w:val="Normal"/>
    <w:next w:val="Normal"/>
    <w:uiPriority w:val="9"/>
    <w:unhideWhenUsed/>
    <w:qFormat/>
    <w:rsid w:val="00146268"/>
    <w:pPr>
      <w:keepNext/>
      <w:keepLines/>
      <w:spacing w:before="220" w:after="40"/>
      <w:outlineLvl w:val="4"/>
    </w:pPr>
    <w:rPr>
      <w:rFonts w:ascii="Times New Roman" w:hAnsi="Times New Roman"/>
      <w:b/>
      <w:sz w:val="22"/>
      <w:szCs w:val="22"/>
    </w:rPr>
  </w:style>
  <w:style w:type="paragraph" w:styleId="Heading6">
    <w:name w:val="heading 6"/>
    <w:basedOn w:val="Normal"/>
    <w:next w:val="Normal"/>
    <w:uiPriority w:val="9"/>
    <w:semiHidden/>
    <w:unhideWhenUsed/>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1. Title"/>
    <w:basedOn w:val="Normal"/>
    <w:next w:val="Normal"/>
    <w:uiPriority w:val="10"/>
    <w:rsid w:val="00302035"/>
    <w:pPr>
      <w:keepNext/>
      <w:keepLines/>
      <w:spacing w:before="240" w:line="360" w:lineRule="auto"/>
    </w:pPr>
    <w:rPr>
      <w:b/>
      <w:sz w:val="20"/>
      <w:szCs w:val="72"/>
    </w:rPr>
  </w:style>
  <w:style w:type="paragraph" w:styleId="Header">
    <w:name w:val="header"/>
    <w:basedOn w:val="Normal"/>
    <w:link w:val="HeaderChar"/>
    <w:uiPriority w:val="99"/>
    <w:unhideWhenUsed/>
    <w:rsid w:val="00B73791"/>
    <w:pPr>
      <w:tabs>
        <w:tab w:val="center" w:pos="4680"/>
        <w:tab w:val="right" w:pos="9360"/>
      </w:tabs>
      <w:spacing w:line="240" w:lineRule="auto"/>
    </w:pPr>
  </w:style>
  <w:style w:type="character" w:customStyle="1" w:styleId="HeaderChar">
    <w:name w:val="Header Char"/>
    <w:basedOn w:val="DefaultParagraphFont"/>
    <w:link w:val="Header"/>
    <w:uiPriority w:val="99"/>
    <w:rsid w:val="00B73791"/>
  </w:style>
  <w:style w:type="paragraph" w:styleId="Footer">
    <w:name w:val="footer"/>
    <w:basedOn w:val="Normal"/>
    <w:link w:val="FooterChar"/>
    <w:uiPriority w:val="99"/>
    <w:unhideWhenUsed/>
    <w:rsid w:val="00B73791"/>
    <w:pPr>
      <w:tabs>
        <w:tab w:val="center" w:pos="4680"/>
        <w:tab w:val="right" w:pos="9360"/>
      </w:tabs>
      <w:spacing w:line="240" w:lineRule="auto"/>
    </w:pPr>
  </w:style>
  <w:style w:type="character" w:customStyle="1" w:styleId="FooterChar">
    <w:name w:val="Footer Char"/>
    <w:basedOn w:val="DefaultParagraphFont"/>
    <w:link w:val="Footer"/>
    <w:uiPriority w:val="99"/>
    <w:rsid w:val="00B73791"/>
  </w:style>
  <w:style w:type="paragraph" w:styleId="NoSpacing">
    <w:name w:val="No Spacing"/>
    <w:aliases w:val="2. Author Names"/>
    <w:uiPriority w:val="1"/>
    <w:qFormat/>
    <w:rsid w:val="00146268"/>
    <w:pPr>
      <w:spacing w:before="240" w:line="240" w:lineRule="auto"/>
      <w:jc w:val="center"/>
    </w:pPr>
    <w:rPr>
      <w:rFonts w:ascii="Times New Roman" w:eastAsia="Times New Roman" w:hAnsi="Times New Roman" w:cs="Times New Roman"/>
      <w:color w:val="000000" w:themeColor="text1"/>
      <w:kern w:val="16"/>
      <w:sz w:val="22"/>
      <w:szCs w:val="20"/>
    </w:rPr>
  </w:style>
  <w:style w:type="character" w:customStyle="1" w:styleId="Heading1Char">
    <w:name w:val="Heading 1 Char"/>
    <w:aliases w:val="3. Author Affiliations Char"/>
    <w:basedOn w:val="DefaultParagraphFont"/>
    <w:link w:val="Heading1"/>
    <w:uiPriority w:val="9"/>
    <w:rsid w:val="00146268"/>
    <w:rPr>
      <w:rFonts w:ascii="Times New Roman" w:eastAsiaTheme="majorEastAsia" w:hAnsi="Times New Roman" w:cstheme="majorBidi"/>
      <w:i/>
      <w:kern w:val="16"/>
      <w:sz w:val="22"/>
      <w:szCs w:val="32"/>
    </w:rPr>
  </w:style>
  <w:style w:type="character" w:customStyle="1" w:styleId="Heading2Char">
    <w:name w:val="Heading 2 Char"/>
    <w:aliases w:val="4. Email correspondence Char"/>
    <w:basedOn w:val="DefaultParagraphFont"/>
    <w:link w:val="Heading2"/>
    <w:uiPriority w:val="9"/>
    <w:rsid w:val="003D352C"/>
    <w:rPr>
      <w:rFonts w:ascii="Times New Roman" w:eastAsiaTheme="majorEastAsia" w:hAnsi="Times New Roman" w:cstheme="majorBidi"/>
      <w:i/>
      <w:color w:val="000000" w:themeColor="text1"/>
      <w:kern w:val="16"/>
      <w:sz w:val="22"/>
      <w:szCs w:val="26"/>
    </w:rPr>
  </w:style>
  <w:style w:type="paragraph" w:customStyle="1" w:styleId="AuthorsFull">
    <w:name w:val="Authors Full"/>
    <w:basedOn w:val="Normal"/>
    <w:rsid w:val="00B73791"/>
    <w:pPr>
      <w:widowControl/>
      <w:spacing w:line="240" w:lineRule="auto"/>
      <w:jc w:val="left"/>
    </w:pPr>
    <w:rPr>
      <w:rFonts w:ascii="Times New Roman" w:eastAsia="MS Mincho" w:hAnsi="Times New Roman"/>
      <w:i/>
      <w:kern w:val="0"/>
      <w:sz w:val="24"/>
      <w:szCs w:val="24"/>
    </w:rPr>
  </w:style>
  <w:style w:type="paragraph" w:customStyle="1" w:styleId="Addresses">
    <w:name w:val="Addresses"/>
    <w:basedOn w:val="Normal"/>
    <w:rsid w:val="00B73791"/>
    <w:pPr>
      <w:widowControl/>
      <w:spacing w:line="240" w:lineRule="auto"/>
      <w:jc w:val="left"/>
    </w:pPr>
    <w:rPr>
      <w:rFonts w:ascii="Times New Roman" w:eastAsia="MS Mincho" w:hAnsi="Times New Roman"/>
      <w:kern w:val="0"/>
      <w:sz w:val="24"/>
      <w:szCs w:val="24"/>
    </w:rPr>
  </w:style>
  <w:style w:type="paragraph" w:customStyle="1" w:styleId="Abstract0">
    <w:name w:val="Abstract"/>
    <w:basedOn w:val="Normal"/>
    <w:autoRedefine/>
    <w:rsid w:val="00B73791"/>
    <w:pPr>
      <w:widowControl/>
      <w:spacing w:line="480" w:lineRule="auto"/>
      <w:jc w:val="left"/>
    </w:pPr>
    <w:rPr>
      <w:rFonts w:ascii="Times New Roman" w:eastAsia="MS Mincho" w:hAnsi="Times New Roman"/>
      <w:kern w:val="0"/>
      <w:sz w:val="24"/>
      <w:szCs w:val="24"/>
    </w:rPr>
  </w:style>
  <w:style w:type="character" w:customStyle="1" w:styleId="Heading4Char">
    <w:name w:val="Heading 4 Char"/>
    <w:aliases w:val="Body Text all Char"/>
    <w:basedOn w:val="DefaultParagraphFont"/>
    <w:link w:val="Heading4"/>
    <w:uiPriority w:val="9"/>
    <w:rsid w:val="003D352C"/>
    <w:rPr>
      <w:rFonts w:ascii="Times New Roman" w:eastAsiaTheme="majorEastAsia" w:hAnsi="Times New Roman" w:cstheme="majorBidi"/>
      <w:iCs/>
      <w:color w:val="000000" w:themeColor="text1"/>
      <w:kern w:val="16"/>
      <w:sz w:val="22"/>
      <w:szCs w:val="20"/>
    </w:rPr>
  </w:style>
  <w:style w:type="paragraph" w:styleId="NormalWeb">
    <w:name w:val="Normal (Web)"/>
    <w:basedOn w:val="Normal"/>
    <w:uiPriority w:val="99"/>
    <w:semiHidden/>
    <w:unhideWhenUsed/>
    <w:rsid w:val="00B73791"/>
    <w:pPr>
      <w:widowControl/>
      <w:spacing w:before="100" w:beforeAutospacing="1" w:after="100" w:afterAutospacing="1" w:line="240" w:lineRule="auto"/>
      <w:jc w:val="left"/>
    </w:pPr>
    <w:rPr>
      <w:rFonts w:ascii="Times New Roman" w:hAnsi="Times New Roman"/>
      <w:kern w:val="0"/>
      <w:sz w:val="24"/>
      <w:szCs w:val="24"/>
    </w:rPr>
  </w:style>
  <w:style w:type="paragraph" w:customStyle="1" w:styleId="Legend">
    <w:name w:val="Legend"/>
    <w:basedOn w:val="Normal"/>
    <w:rsid w:val="00B73791"/>
    <w:pPr>
      <w:widowControl/>
      <w:spacing w:line="240" w:lineRule="auto"/>
      <w:jc w:val="left"/>
    </w:pPr>
    <w:rPr>
      <w:rFonts w:ascii="Times New Roman" w:eastAsia="MS Mincho" w:hAnsi="Times New Roman"/>
      <w:kern w:val="0"/>
      <w:sz w:val="24"/>
      <w:szCs w:val="24"/>
    </w:rPr>
  </w:style>
  <w:style w:type="paragraph" w:customStyle="1" w:styleId="MainText">
    <w:name w:val="Main Text"/>
    <w:basedOn w:val="Normal"/>
    <w:link w:val="MainTextChar"/>
    <w:rsid w:val="00B73791"/>
    <w:pPr>
      <w:widowControl/>
      <w:spacing w:line="480" w:lineRule="auto"/>
      <w:jc w:val="left"/>
    </w:pPr>
    <w:rPr>
      <w:rFonts w:ascii="Times New Roman" w:eastAsia="MS Mincho" w:hAnsi="Times New Roman"/>
      <w:kern w:val="0"/>
      <w:sz w:val="24"/>
      <w:szCs w:val="24"/>
    </w:rPr>
  </w:style>
  <w:style w:type="character" w:customStyle="1" w:styleId="MainTextChar">
    <w:name w:val="Main Text Char"/>
    <w:link w:val="MainText"/>
    <w:rsid w:val="00B73791"/>
    <w:rPr>
      <w:rFonts w:ascii="Times New Roman" w:eastAsia="MS Mincho" w:hAnsi="Times New Roman" w:cs="Times New Roman"/>
      <w:sz w:val="24"/>
      <w:szCs w:val="24"/>
      <w:lang w:eastAsia="ja-JP"/>
    </w:rPr>
  </w:style>
  <w:style w:type="paragraph" w:styleId="BodyText">
    <w:name w:val="Body Text"/>
    <w:basedOn w:val="Normal"/>
    <w:link w:val="BodyTextChar"/>
    <w:rsid w:val="008A1055"/>
    <w:pPr>
      <w:widowControl/>
      <w:tabs>
        <w:tab w:val="left" w:pos="288"/>
      </w:tabs>
      <w:spacing w:after="120" w:line="228" w:lineRule="auto"/>
      <w:ind w:firstLine="288"/>
    </w:pPr>
    <w:rPr>
      <w:rFonts w:ascii="Times New Roman" w:eastAsia="SimSun" w:hAnsi="Times New Roman"/>
      <w:spacing w:val="-1"/>
      <w:kern w:val="0"/>
      <w:sz w:val="20"/>
    </w:rPr>
  </w:style>
  <w:style w:type="character" w:customStyle="1" w:styleId="BodyTextChar">
    <w:name w:val="Body Text Char"/>
    <w:basedOn w:val="DefaultParagraphFont"/>
    <w:link w:val="BodyText"/>
    <w:rsid w:val="008A1055"/>
    <w:rPr>
      <w:rFonts w:ascii="Times New Roman" w:eastAsia="SimSun" w:hAnsi="Times New Roman" w:cs="Times New Roman"/>
      <w:spacing w:val="-1"/>
      <w:sz w:val="20"/>
      <w:szCs w:val="20"/>
    </w:rPr>
  </w:style>
  <w:style w:type="character" w:customStyle="1" w:styleId="Heading3Char">
    <w:name w:val="Heading 3 Char"/>
    <w:aliases w:val="7. Figure and Table caption Char"/>
    <w:basedOn w:val="DefaultParagraphFont"/>
    <w:link w:val="Heading3"/>
    <w:uiPriority w:val="9"/>
    <w:rsid w:val="00146268"/>
    <w:rPr>
      <w:rFonts w:ascii="Times New Roman" w:eastAsiaTheme="majorEastAsia" w:hAnsi="Times New Roman" w:cstheme="majorBidi"/>
      <w:b/>
      <w:color w:val="000000" w:themeColor="text1"/>
      <w:kern w:val="16"/>
      <w:sz w:val="22"/>
      <w:szCs w:val="24"/>
    </w:rPr>
  </w:style>
  <w:style w:type="paragraph" w:customStyle="1" w:styleId="Head1">
    <w:name w:val="Head 1"/>
    <w:basedOn w:val="Normal"/>
    <w:autoRedefine/>
    <w:rsid w:val="008A1055"/>
    <w:pPr>
      <w:widowControl/>
      <w:spacing w:line="360" w:lineRule="auto"/>
      <w:jc w:val="left"/>
    </w:pPr>
    <w:rPr>
      <w:rFonts w:ascii="Times New Roman" w:eastAsia="MS Mincho" w:hAnsi="Times New Roman"/>
      <w:b/>
      <w:kern w:val="0"/>
      <w:sz w:val="24"/>
      <w:szCs w:val="24"/>
    </w:rPr>
  </w:style>
  <w:style w:type="paragraph" w:customStyle="1" w:styleId="ExperimentalText">
    <w:name w:val="Experimental Text"/>
    <w:basedOn w:val="Normal"/>
    <w:link w:val="ExperimentalTextChar"/>
    <w:rsid w:val="008A1055"/>
    <w:pPr>
      <w:widowControl/>
      <w:spacing w:line="480" w:lineRule="auto"/>
      <w:jc w:val="left"/>
    </w:pPr>
    <w:rPr>
      <w:rFonts w:ascii="Times New Roman" w:eastAsia="MS Mincho" w:hAnsi="Times New Roman"/>
      <w:kern w:val="0"/>
      <w:sz w:val="24"/>
      <w:szCs w:val="24"/>
    </w:rPr>
  </w:style>
  <w:style w:type="character" w:customStyle="1" w:styleId="ExperimentalTextChar">
    <w:name w:val="Experimental Text Char"/>
    <w:link w:val="ExperimentalText"/>
    <w:rsid w:val="008A1055"/>
    <w:rPr>
      <w:rFonts w:ascii="Times New Roman" w:eastAsia="MS Mincho" w:hAnsi="Times New Roman" w:cs="Times New Roman"/>
      <w:sz w:val="24"/>
      <w:szCs w:val="24"/>
      <w:lang w:eastAsia="ja-JP"/>
    </w:rPr>
  </w:style>
  <w:style w:type="paragraph" w:customStyle="1" w:styleId="TABLETITLE">
    <w:name w:val="TABLE TITLE"/>
    <w:basedOn w:val="Normal"/>
    <w:next w:val="Normal"/>
    <w:rsid w:val="008A1055"/>
    <w:pPr>
      <w:keepNext/>
      <w:spacing w:before="160" w:after="80" w:line="200" w:lineRule="exact"/>
      <w:jc w:val="center"/>
    </w:pPr>
    <w:rPr>
      <w:rFonts w:ascii="Helvetica" w:hAnsi="Helvetica"/>
      <w:smallCaps/>
    </w:rPr>
  </w:style>
  <w:style w:type="paragraph" w:customStyle="1" w:styleId="PARAGRAPH">
    <w:name w:val="PARAGRAPH"/>
    <w:basedOn w:val="Normal"/>
    <w:rsid w:val="00922C80"/>
    <w:pPr>
      <w:ind w:firstLine="240"/>
    </w:pPr>
  </w:style>
  <w:style w:type="paragraph" w:customStyle="1" w:styleId="ABSTRACT">
    <w:name w:val="ABSTRACT"/>
    <w:basedOn w:val="PARAGRAPH"/>
    <w:rsid w:val="00922C80"/>
    <w:pPr>
      <w:suppressAutoHyphens/>
      <w:spacing w:after="240" w:line="210" w:lineRule="exact"/>
      <w:ind w:left="480" w:right="480" w:firstLine="0"/>
      <w:jc w:val="left"/>
    </w:pPr>
    <w:rPr>
      <w:rFonts w:ascii="Helvetica" w:hAnsi="Helvetica"/>
      <w:sz w:val="16"/>
    </w:rPr>
  </w:style>
  <w:style w:type="paragraph" w:customStyle="1" w:styleId="TableHead">
    <w:name w:val="TableHead"/>
    <w:basedOn w:val="Normal"/>
    <w:rsid w:val="00922C80"/>
    <w:pPr>
      <w:widowControl/>
      <w:pBdr>
        <w:top w:val="single" w:sz="4" w:space="4" w:color="FFFFFF"/>
        <w:left w:val="single" w:sz="4" w:space="4" w:color="FFFFFF"/>
        <w:bottom w:val="single" w:sz="4" w:space="4" w:color="FFFFFF"/>
        <w:right w:val="single" w:sz="4" w:space="4" w:color="FFFFFF"/>
      </w:pBdr>
      <w:spacing w:line="190" w:lineRule="exact"/>
    </w:pPr>
    <w:rPr>
      <w:rFonts w:ascii="Arial" w:eastAsia="MS Mincho" w:hAnsi="Arial"/>
      <w:kern w:val="0"/>
      <w:sz w:val="16"/>
      <w:szCs w:val="14"/>
      <w:lang w:val="en-GB"/>
    </w:rPr>
  </w:style>
  <w:style w:type="paragraph" w:customStyle="1" w:styleId="TableBody">
    <w:name w:val="TableBody"/>
    <w:basedOn w:val="TableHead"/>
    <w:rsid w:val="00922C80"/>
  </w:style>
  <w:style w:type="paragraph" w:customStyle="1" w:styleId="STOE">
    <w:name w:val="STOE"/>
    <w:basedOn w:val="Normal"/>
    <w:link w:val="STOEChar1"/>
    <w:rsid w:val="002E130D"/>
    <w:pPr>
      <w:spacing w:line="236" w:lineRule="exact"/>
      <w:ind w:right="4434"/>
    </w:pPr>
    <w:rPr>
      <w:rFonts w:ascii="Times" w:eastAsia="MS Mincho" w:hAnsi="Times"/>
      <w:kern w:val="0"/>
      <w:sz w:val="18"/>
      <w:szCs w:val="3276"/>
      <w:lang w:val="en-GB" w:eastAsia="de-DE"/>
    </w:rPr>
  </w:style>
  <w:style w:type="character" w:customStyle="1" w:styleId="STOEChar1">
    <w:name w:val="STOE Char1"/>
    <w:link w:val="STOE"/>
    <w:rsid w:val="002E130D"/>
    <w:rPr>
      <w:rFonts w:ascii="Times" w:eastAsia="MS Mincho" w:hAnsi="Times" w:cs="Times New Roman"/>
      <w:sz w:val="18"/>
      <w:szCs w:val="3276"/>
      <w:lang w:val="en-GB" w:eastAsia="de-DE"/>
    </w:rPr>
  </w:style>
  <w:style w:type="paragraph" w:customStyle="1" w:styleId="Maintext0">
    <w:name w:val="Main text"/>
    <w:basedOn w:val="Normal"/>
    <w:link w:val="MaintextChar0"/>
    <w:autoRedefine/>
    <w:rsid w:val="002E130D"/>
    <w:pPr>
      <w:widowControl/>
      <w:spacing w:line="480" w:lineRule="auto"/>
      <w:jc w:val="left"/>
    </w:pPr>
    <w:rPr>
      <w:rFonts w:ascii="Times New Roman" w:eastAsia="MS Mincho" w:hAnsi="Times New Roman"/>
      <w:kern w:val="0"/>
      <w:sz w:val="24"/>
      <w:szCs w:val="24"/>
    </w:rPr>
  </w:style>
  <w:style w:type="character" w:customStyle="1" w:styleId="MaintextChar0">
    <w:name w:val="Main text Char"/>
    <w:link w:val="Maintext0"/>
    <w:rsid w:val="002E130D"/>
    <w:rPr>
      <w:rFonts w:ascii="Times New Roman" w:eastAsia="MS Mincho" w:hAnsi="Times New Roman" w:cs="Times New Roman"/>
      <w:sz w:val="24"/>
      <w:szCs w:val="24"/>
      <w:lang w:eastAsia="ja-JP"/>
    </w:rPr>
  </w:style>
  <w:style w:type="paragraph" w:customStyle="1" w:styleId="Literature">
    <w:name w:val="Literature"/>
    <w:basedOn w:val="Normal"/>
    <w:rsid w:val="00640B2E"/>
    <w:pPr>
      <w:widowControl/>
      <w:spacing w:line="480" w:lineRule="auto"/>
      <w:jc w:val="left"/>
    </w:pPr>
    <w:rPr>
      <w:rFonts w:ascii="Times New Roman" w:eastAsia="MS Mincho" w:hAnsi="Times New Roman"/>
      <w:kern w:val="0"/>
      <w:sz w:val="24"/>
      <w:szCs w:val="24"/>
      <w:lang w:val="de-DE"/>
    </w:rPr>
  </w:style>
  <w:style w:type="paragraph" w:styleId="Subtitle">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rPr>
      <w:rFonts w:eastAsia="Times New Roman" w:cs="Times New Roman"/>
      <w:kern w:val="16"/>
      <w:szCs w:val="2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C7047"/>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C7047"/>
    <w:rPr>
      <w:rFonts w:asciiTheme="majorHAnsi" w:eastAsiaTheme="majorEastAsia" w:hAnsiTheme="majorHAnsi" w:cstheme="majorBidi"/>
      <w:kern w:val="16"/>
      <w:sz w:val="18"/>
      <w:szCs w:val="18"/>
    </w:rPr>
  </w:style>
  <w:style w:type="paragraph" w:customStyle="1" w:styleId="BCAuthorAddress">
    <w:name w:val="BC_Author_Address"/>
    <w:basedOn w:val="Normal"/>
    <w:next w:val="Normal"/>
    <w:autoRedefine/>
    <w:rsid w:val="00B23708"/>
    <w:pPr>
      <w:widowControl/>
      <w:spacing w:line="240" w:lineRule="auto"/>
      <w:jc w:val="center"/>
    </w:pPr>
    <w:rPr>
      <w:rFonts w:ascii="Times New Roman" w:hAnsi="Times New Roman"/>
      <w:i/>
      <w:color w:val="000000" w:themeColor="text1"/>
      <w:kern w:val="22"/>
      <w:sz w:val="22"/>
      <w:szCs w:val="22"/>
      <w:lang w:eastAsia="en-US" w:bidi="ar-SA"/>
    </w:rPr>
  </w:style>
  <w:style w:type="paragraph" w:customStyle="1" w:styleId="StyleFACorrespondingAuthorFootnote7pt">
    <w:name w:val="Style FA_Corresponding_Author_Footnote + 7 pt"/>
    <w:basedOn w:val="Normal"/>
    <w:next w:val="Normal"/>
    <w:link w:val="StyleFACorrespondingAuthorFootnote7ptChar"/>
    <w:autoRedefine/>
    <w:rsid w:val="00037431"/>
    <w:pPr>
      <w:widowControl/>
      <w:spacing w:line="240" w:lineRule="auto"/>
      <w:jc w:val="left"/>
    </w:pPr>
    <w:rPr>
      <w:rFonts w:ascii="Arno Pro" w:hAnsi="Arno Pro"/>
      <w:kern w:val="20"/>
      <w:sz w:val="18"/>
      <w:lang w:eastAsia="en-US" w:bidi="ar-SA"/>
    </w:rPr>
  </w:style>
  <w:style w:type="character" w:customStyle="1" w:styleId="StyleFACorrespondingAuthorFootnote7ptChar">
    <w:name w:val="Style FA_Corresponding_Author_Footnote + 7 pt Char"/>
    <w:link w:val="StyleFACorrespondingAuthorFootnote7pt"/>
    <w:rsid w:val="00037431"/>
    <w:rPr>
      <w:rFonts w:ascii="Arno Pro" w:eastAsia="Times New Roman" w:hAnsi="Arno Pro" w:cs="Times New Roman"/>
      <w:kern w:val="20"/>
      <w:sz w:val="18"/>
      <w:szCs w:val="20"/>
      <w:lang w:eastAsia="en-US" w:bidi="ar-SA"/>
    </w:rPr>
  </w:style>
  <w:style w:type="paragraph" w:customStyle="1" w:styleId="FAAuthorInfoSubtitle">
    <w:name w:val="FA_Author_Info_Subtitle"/>
    <w:basedOn w:val="Normal"/>
    <w:link w:val="FAAuthorInfoSubtitleChar"/>
    <w:autoRedefine/>
    <w:rsid w:val="00037431"/>
    <w:pPr>
      <w:widowControl/>
      <w:spacing w:before="120" w:after="60" w:line="240" w:lineRule="auto"/>
      <w:jc w:val="left"/>
    </w:pPr>
    <w:rPr>
      <w:rFonts w:ascii="Myriad Pro Light" w:hAnsi="Myriad Pro Light"/>
      <w:b/>
      <w:kern w:val="21"/>
      <w:szCs w:val="14"/>
      <w:lang w:eastAsia="en-US" w:bidi="ar-SA"/>
    </w:rPr>
  </w:style>
  <w:style w:type="character" w:customStyle="1" w:styleId="FAAuthorInfoSubtitleChar">
    <w:name w:val="FA_Author_Info_Subtitle Char"/>
    <w:link w:val="FAAuthorInfoSubtitle"/>
    <w:rsid w:val="00037431"/>
    <w:rPr>
      <w:rFonts w:ascii="Myriad Pro Light" w:eastAsia="Times New Roman" w:hAnsi="Myriad Pro Light" w:cs="Times New Roman"/>
      <w:b/>
      <w:kern w:val="21"/>
      <w:szCs w:val="14"/>
      <w:lang w:eastAsia="en-US" w:bidi="ar-SA"/>
    </w:rPr>
  </w:style>
  <w:style w:type="paragraph" w:customStyle="1" w:styleId="Footnote">
    <w:name w:val="Footnote"/>
    <w:basedOn w:val="Normal"/>
    <w:rsid w:val="00920B14"/>
    <w:pPr>
      <w:widowControl/>
      <w:spacing w:before="120" w:line="180" w:lineRule="exact"/>
      <w:ind w:left="425" w:hanging="425"/>
      <w:jc w:val="left"/>
    </w:pPr>
    <w:rPr>
      <w:rFonts w:ascii="Arial" w:eastAsia="MS Mincho" w:hAnsi="Arial"/>
      <w:kern w:val="0"/>
      <w:sz w:val="14"/>
      <w:szCs w:val="14"/>
      <w:lang w:val="en-GB" w:bidi="ar-SA"/>
    </w:rPr>
  </w:style>
  <w:style w:type="character" w:styleId="Hyperlink">
    <w:name w:val="Hyperlink"/>
    <w:basedOn w:val="DefaultParagraphFont"/>
    <w:uiPriority w:val="99"/>
    <w:unhideWhenUsed/>
    <w:rsid w:val="00920B14"/>
    <w:rPr>
      <w:color w:val="0563C1" w:themeColor="hyperlink"/>
      <w:u w:val="single"/>
    </w:rPr>
  </w:style>
  <w:style w:type="character" w:customStyle="1" w:styleId="UnresolvedMention1">
    <w:name w:val="Unresolved Mention1"/>
    <w:basedOn w:val="DefaultParagraphFont"/>
    <w:uiPriority w:val="99"/>
    <w:semiHidden/>
    <w:unhideWhenUsed/>
    <w:rsid w:val="00920B14"/>
    <w:rPr>
      <w:color w:val="605E5C"/>
      <w:shd w:val="clear" w:color="auto" w:fill="E1DFDD"/>
    </w:rPr>
  </w:style>
  <w:style w:type="paragraph" w:customStyle="1" w:styleId="1MainTitle">
    <w:name w:val="1. Main Title"/>
    <w:basedOn w:val="Head1"/>
    <w:qFormat/>
    <w:rsid w:val="00B23708"/>
    <w:pPr>
      <w:spacing w:line="240" w:lineRule="auto"/>
      <w:jc w:val="center"/>
    </w:pPr>
    <w:rPr>
      <w:sz w:val="28"/>
      <w:lang w:val="de-DE" w:bidi="ar-SA"/>
    </w:rPr>
  </w:style>
  <w:style w:type="paragraph" w:styleId="CommentSubject">
    <w:name w:val="annotation subject"/>
    <w:basedOn w:val="CommentText"/>
    <w:next w:val="CommentText"/>
    <w:link w:val="CommentSubjectChar"/>
    <w:uiPriority w:val="99"/>
    <w:semiHidden/>
    <w:unhideWhenUsed/>
    <w:rsid w:val="00577028"/>
    <w:pPr>
      <w:spacing w:line="240" w:lineRule="auto"/>
      <w:jc w:val="both"/>
    </w:pPr>
    <w:rPr>
      <w:b/>
      <w:bCs/>
      <w:sz w:val="20"/>
    </w:rPr>
  </w:style>
  <w:style w:type="character" w:customStyle="1" w:styleId="CommentSubjectChar">
    <w:name w:val="Comment Subject Char"/>
    <w:basedOn w:val="CommentTextChar"/>
    <w:link w:val="CommentSubject"/>
    <w:uiPriority w:val="99"/>
    <w:semiHidden/>
    <w:rsid w:val="00577028"/>
    <w:rPr>
      <w:rFonts w:eastAsia="Times New Roman" w:cs="Times New Roman"/>
      <w:b/>
      <w:bCs/>
      <w:kern w:val="16"/>
      <w:sz w:val="20"/>
      <w:szCs w:val="20"/>
    </w:rPr>
  </w:style>
  <w:style w:type="paragraph" w:styleId="ListParagraph">
    <w:name w:val="List Paragraph"/>
    <w:basedOn w:val="Normal"/>
    <w:uiPriority w:val="34"/>
    <w:rsid w:val="0005647E"/>
    <w:pPr>
      <w:ind w:left="720"/>
      <w:contextualSpacing/>
    </w:pPr>
  </w:style>
  <w:style w:type="table" w:styleId="TableGrid">
    <w:name w:val="Table Grid"/>
    <w:basedOn w:val="TableNormal"/>
    <w:qFormat/>
    <w:rsid w:val="00E163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339F2"/>
    <w:pPr>
      <w:widowControl/>
      <w:spacing w:line="240" w:lineRule="auto"/>
      <w:jc w:val="left"/>
    </w:pPr>
    <w:rPr>
      <w:rFonts w:eastAsia="Times New Roman" w:cs="Times New Roman"/>
      <w:kern w:val="16"/>
      <w:szCs w:val="20"/>
    </w:rPr>
  </w:style>
  <w:style w:type="paragraph" w:customStyle="1" w:styleId="6Bodytext">
    <w:name w:val="6. Body text"/>
    <w:link w:val="6BodytextChar"/>
    <w:qFormat/>
    <w:rsid w:val="003D352C"/>
    <w:pPr>
      <w:spacing w:before="240" w:line="360" w:lineRule="auto"/>
    </w:pPr>
    <w:rPr>
      <w:rFonts w:ascii="Times New Roman" w:eastAsiaTheme="majorEastAsia" w:hAnsi="Times New Roman" w:cstheme="majorBidi"/>
      <w:iCs/>
      <w:color w:val="000000" w:themeColor="text1"/>
      <w:kern w:val="16"/>
      <w:sz w:val="22"/>
      <w:szCs w:val="20"/>
    </w:rPr>
  </w:style>
  <w:style w:type="character" w:customStyle="1" w:styleId="6BodytextChar">
    <w:name w:val="6. Body text Char"/>
    <w:basedOn w:val="DefaultParagraphFont"/>
    <w:link w:val="6Bodytext"/>
    <w:rsid w:val="003D352C"/>
    <w:rPr>
      <w:rFonts w:ascii="Times New Roman" w:eastAsiaTheme="majorEastAsia" w:hAnsi="Times New Roman" w:cstheme="majorBidi"/>
      <w:iCs/>
      <w:color w:val="000000" w:themeColor="text1"/>
      <w:kern w:val="16"/>
      <w:sz w:val="22"/>
      <w:szCs w:val="20"/>
    </w:rPr>
  </w:style>
  <w:style w:type="paragraph" w:customStyle="1" w:styleId="1ICIET2025Title">
    <w:name w:val="1_ICIET2025_Title"/>
    <w:qFormat/>
    <w:rsid w:val="00D755B6"/>
    <w:pPr>
      <w:widowControl/>
      <w:spacing w:line="240" w:lineRule="auto"/>
      <w:jc w:val="left"/>
    </w:pPr>
    <w:rPr>
      <w:rFonts w:ascii="Times New Roman" w:hAnsi="Times New Roman" w:cstheme="minorBidi"/>
      <w:b/>
      <w:sz w:val="28"/>
      <w:szCs w:val="22"/>
      <w:lang w:eastAsia="en-US" w:bidi="ar-SA"/>
    </w:rPr>
  </w:style>
  <w:style w:type="paragraph" w:customStyle="1" w:styleId="7ICIET2025KeywordsHeading">
    <w:name w:val="7_ICIET2025_Keywords_Heading"/>
    <w:qFormat/>
    <w:rsid w:val="00D755B6"/>
    <w:pPr>
      <w:widowControl/>
      <w:spacing w:before="240" w:line="360" w:lineRule="auto"/>
      <w:jc w:val="left"/>
    </w:pPr>
    <w:rPr>
      <w:rFonts w:ascii="Times New Roman" w:hAnsi="Times New Roman" w:cstheme="minorBidi"/>
      <w:b/>
      <w:sz w:val="22"/>
      <w:szCs w:val="22"/>
      <w:lang w:eastAsia="en-US" w:bidi="ar-SA"/>
    </w:rPr>
  </w:style>
  <w:style w:type="paragraph" w:styleId="Caption">
    <w:name w:val="caption"/>
    <w:basedOn w:val="Normal"/>
    <w:next w:val="Normal"/>
    <w:uiPriority w:val="35"/>
    <w:unhideWhenUsed/>
    <w:qFormat/>
    <w:rsid w:val="00D77D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879704">
      <w:bodyDiv w:val="1"/>
      <w:marLeft w:val="0"/>
      <w:marRight w:val="0"/>
      <w:marTop w:val="0"/>
      <w:marBottom w:val="0"/>
      <w:divBdr>
        <w:top w:val="none" w:sz="0" w:space="0" w:color="auto"/>
        <w:left w:val="none" w:sz="0" w:space="0" w:color="auto"/>
        <w:bottom w:val="none" w:sz="0" w:space="0" w:color="auto"/>
        <w:right w:val="none" w:sz="0" w:space="0" w:color="auto"/>
      </w:divBdr>
    </w:div>
    <w:div w:id="1293097550">
      <w:bodyDiv w:val="1"/>
      <w:marLeft w:val="0"/>
      <w:marRight w:val="0"/>
      <w:marTop w:val="0"/>
      <w:marBottom w:val="0"/>
      <w:divBdr>
        <w:top w:val="none" w:sz="0" w:space="0" w:color="auto"/>
        <w:left w:val="none" w:sz="0" w:space="0" w:color="auto"/>
        <w:bottom w:val="none" w:sz="0" w:space="0" w:color="auto"/>
        <w:right w:val="none" w:sz="0" w:space="0" w:color="auto"/>
      </w:divBdr>
    </w:div>
    <w:div w:id="1512528038">
      <w:bodyDiv w:val="1"/>
      <w:marLeft w:val="0"/>
      <w:marRight w:val="0"/>
      <w:marTop w:val="0"/>
      <w:marBottom w:val="0"/>
      <w:divBdr>
        <w:top w:val="none" w:sz="0" w:space="0" w:color="auto"/>
        <w:left w:val="none" w:sz="0" w:space="0" w:color="auto"/>
        <w:bottom w:val="none" w:sz="0" w:space="0" w:color="auto"/>
        <w:right w:val="none" w:sz="0" w:space="0" w:color="auto"/>
      </w:divBdr>
    </w:div>
    <w:div w:id="1618563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1Hne+/wUZ8wRUZFLfnBbgYBmA==">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AA5C31-221E-4E0C-BBA0-853CB126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1865</Words>
  <Characters>11222</Characters>
  <Application>Microsoft Office Word</Application>
  <DocSecurity>0</DocSecurity>
  <Lines>340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Asanka Sanjeewa</dc:creator>
  <cp:lastModifiedBy>Luxshi Karunakaran</cp:lastModifiedBy>
  <cp:revision>5</cp:revision>
  <cp:lastPrinted>2025-08-01T09:40:00Z</cp:lastPrinted>
  <dcterms:created xsi:type="dcterms:W3CDTF">2025-05-01T17:24:00Z</dcterms:created>
  <dcterms:modified xsi:type="dcterms:W3CDTF">2025-08-01T09:40:00Z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e9b49d6eb7b104bf8eef430441d161709b9086770638fe5d466e8cc197c66c0f</vt:lpwstr>
  </property>
</Properties>
</file>