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1F19F" w14:textId="77777777" w:rsidR="007000B3" w:rsidRDefault="00000000">
      <w:pPr>
        <w:spacing w:before="48"/>
        <w:ind w:left="140"/>
        <w:rPr>
          <w:rFonts w:ascii="Calibri" w:hAnsi="Calibri"/>
          <w:i/>
          <w:sz w:val="20"/>
        </w:rPr>
      </w:pPr>
      <w:r>
        <w:rPr>
          <w:rFonts w:ascii="Calibri" w:hAnsi="Calibri"/>
          <w:i/>
          <w:sz w:val="20"/>
        </w:rPr>
        <w:t>Proceedings</w:t>
      </w:r>
      <w:r>
        <w:rPr>
          <w:rFonts w:ascii="Calibri" w:hAnsi="Calibri"/>
          <w:i/>
          <w:spacing w:val="-7"/>
          <w:sz w:val="20"/>
        </w:rPr>
        <w:t xml:space="preserve"> </w:t>
      </w:r>
      <w:r>
        <w:rPr>
          <w:rFonts w:ascii="Calibri" w:hAnsi="Calibri"/>
          <w:i/>
          <w:sz w:val="20"/>
        </w:rPr>
        <w:t>of</w:t>
      </w:r>
      <w:r>
        <w:rPr>
          <w:rFonts w:ascii="Calibri" w:hAnsi="Calibri"/>
          <w:i/>
          <w:spacing w:val="-7"/>
          <w:sz w:val="20"/>
        </w:rPr>
        <w:t xml:space="preserve"> </w:t>
      </w:r>
      <w:r>
        <w:rPr>
          <w:rFonts w:ascii="Calibri" w:hAnsi="Calibri"/>
          <w:i/>
          <w:sz w:val="20"/>
        </w:rPr>
        <w:t>the</w:t>
      </w:r>
      <w:r>
        <w:rPr>
          <w:rFonts w:ascii="Calibri" w:hAnsi="Calibri"/>
          <w:i/>
          <w:spacing w:val="-6"/>
          <w:sz w:val="20"/>
        </w:rPr>
        <w:t xml:space="preserve"> </w:t>
      </w:r>
      <w:r>
        <w:rPr>
          <w:rFonts w:ascii="Calibri" w:hAnsi="Calibri"/>
          <w:i/>
          <w:sz w:val="20"/>
        </w:rPr>
        <w:t>Postgraduate</w:t>
      </w:r>
      <w:r>
        <w:rPr>
          <w:rFonts w:ascii="Calibri" w:hAnsi="Calibri"/>
          <w:i/>
          <w:spacing w:val="-5"/>
          <w:sz w:val="20"/>
        </w:rPr>
        <w:t xml:space="preserve"> </w:t>
      </w:r>
      <w:r>
        <w:rPr>
          <w:rFonts w:ascii="Calibri" w:hAnsi="Calibri"/>
          <w:i/>
          <w:sz w:val="20"/>
        </w:rPr>
        <w:t>Institute</w:t>
      </w:r>
      <w:r>
        <w:rPr>
          <w:rFonts w:ascii="Calibri" w:hAnsi="Calibri"/>
          <w:i/>
          <w:spacing w:val="-6"/>
          <w:sz w:val="20"/>
        </w:rPr>
        <w:t xml:space="preserve"> </w:t>
      </w:r>
      <w:r>
        <w:rPr>
          <w:rFonts w:ascii="Calibri" w:hAnsi="Calibri"/>
          <w:i/>
          <w:sz w:val="20"/>
        </w:rPr>
        <w:t>of</w:t>
      </w:r>
      <w:r>
        <w:rPr>
          <w:rFonts w:ascii="Calibri" w:hAnsi="Calibri"/>
          <w:i/>
          <w:spacing w:val="-7"/>
          <w:sz w:val="20"/>
        </w:rPr>
        <w:t xml:space="preserve"> </w:t>
      </w:r>
      <w:r>
        <w:rPr>
          <w:rFonts w:ascii="Calibri" w:hAnsi="Calibri"/>
          <w:i/>
          <w:sz w:val="20"/>
        </w:rPr>
        <w:t>Science</w:t>
      </w:r>
      <w:r>
        <w:rPr>
          <w:rFonts w:ascii="Calibri" w:hAnsi="Calibri"/>
          <w:i/>
          <w:spacing w:val="-5"/>
          <w:sz w:val="20"/>
        </w:rPr>
        <w:t xml:space="preserve"> </w:t>
      </w:r>
      <w:r>
        <w:rPr>
          <w:rFonts w:ascii="Calibri" w:hAnsi="Calibri"/>
          <w:i/>
          <w:sz w:val="20"/>
        </w:rPr>
        <w:t>Research</w:t>
      </w:r>
      <w:r>
        <w:rPr>
          <w:rFonts w:ascii="Calibri" w:hAnsi="Calibri"/>
          <w:i/>
          <w:spacing w:val="-6"/>
          <w:sz w:val="20"/>
        </w:rPr>
        <w:t xml:space="preserve"> </w:t>
      </w:r>
      <w:r>
        <w:rPr>
          <w:rFonts w:ascii="Calibri" w:hAnsi="Calibri"/>
          <w:i/>
          <w:sz w:val="20"/>
        </w:rPr>
        <w:t>Congress,</w:t>
      </w:r>
      <w:r>
        <w:rPr>
          <w:rFonts w:ascii="Calibri" w:hAnsi="Calibri"/>
          <w:i/>
          <w:spacing w:val="-5"/>
          <w:sz w:val="20"/>
        </w:rPr>
        <w:t xml:space="preserve"> </w:t>
      </w:r>
      <w:r>
        <w:rPr>
          <w:rFonts w:ascii="Calibri" w:hAnsi="Calibri"/>
          <w:i/>
          <w:sz w:val="20"/>
        </w:rPr>
        <w:t>Sri</w:t>
      </w:r>
      <w:r>
        <w:rPr>
          <w:rFonts w:ascii="Calibri" w:hAnsi="Calibri"/>
          <w:i/>
          <w:spacing w:val="-7"/>
          <w:sz w:val="20"/>
        </w:rPr>
        <w:t xml:space="preserve"> </w:t>
      </w:r>
      <w:r>
        <w:rPr>
          <w:rFonts w:ascii="Calibri" w:hAnsi="Calibri"/>
          <w:i/>
          <w:sz w:val="20"/>
        </w:rPr>
        <w:t>Lanka:</w:t>
      </w:r>
      <w:r>
        <w:rPr>
          <w:rFonts w:ascii="Calibri" w:hAnsi="Calibri"/>
          <w:i/>
          <w:spacing w:val="-4"/>
          <w:sz w:val="20"/>
        </w:rPr>
        <w:t xml:space="preserve"> </w:t>
      </w:r>
      <w:r>
        <w:rPr>
          <w:rFonts w:ascii="Calibri" w:hAnsi="Calibri"/>
          <w:i/>
          <w:sz w:val="20"/>
        </w:rPr>
        <w:t>7</w:t>
      </w:r>
      <w:r>
        <w:rPr>
          <w:rFonts w:ascii="Calibri" w:hAnsi="Calibri"/>
          <w:i/>
          <w:sz w:val="20"/>
          <w:vertAlign w:val="superscript"/>
        </w:rPr>
        <w:t>th</w:t>
      </w:r>
      <w:r>
        <w:rPr>
          <w:rFonts w:ascii="Calibri" w:hAnsi="Calibri"/>
          <w:i/>
          <w:spacing w:val="-6"/>
          <w:sz w:val="20"/>
        </w:rPr>
        <w:t xml:space="preserve"> </w:t>
      </w:r>
      <w:r>
        <w:rPr>
          <w:rFonts w:ascii="Calibri" w:hAnsi="Calibri"/>
          <w:i/>
          <w:sz w:val="20"/>
        </w:rPr>
        <w:t>–</w:t>
      </w:r>
      <w:r>
        <w:rPr>
          <w:rFonts w:ascii="Calibri" w:hAnsi="Calibri"/>
          <w:i/>
          <w:spacing w:val="-6"/>
          <w:sz w:val="20"/>
        </w:rPr>
        <w:t xml:space="preserve"> </w:t>
      </w:r>
      <w:r>
        <w:rPr>
          <w:rFonts w:ascii="Calibri" w:hAnsi="Calibri"/>
          <w:i/>
          <w:sz w:val="20"/>
        </w:rPr>
        <w:t>8</w:t>
      </w:r>
      <w:r>
        <w:rPr>
          <w:rFonts w:ascii="Calibri" w:hAnsi="Calibri"/>
          <w:i/>
          <w:sz w:val="20"/>
          <w:vertAlign w:val="superscript"/>
        </w:rPr>
        <w:t>th</w:t>
      </w:r>
      <w:r>
        <w:rPr>
          <w:rFonts w:ascii="Calibri" w:hAnsi="Calibri"/>
          <w:i/>
          <w:spacing w:val="-6"/>
          <w:sz w:val="20"/>
        </w:rPr>
        <w:t xml:space="preserve"> </w:t>
      </w:r>
      <w:r>
        <w:rPr>
          <w:rFonts w:ascii="Calibri" w:hAnsi="Calibri"/>
          <w:i/>
          <w:sz w:val="20"/>
        </w:rPr>
        <w:t>November</w:t>
      </w:r>
      <w:r>
        <w:rPr>
          <w:rFonts w:ascii="Calibri" w:hAnsi="Calibri"/>
          <w:i/>
          <w:spacing w:val="-5"/>
          <w:sz w:val="20"/>
        </w:rPr>
        <w:t xml:space="preserve"> </w:t>
      </w:r>
      <w:r>
        <w:rPr>
          <w:rFonts w:ascii="Calibri" w:hAnsi="Calibri"/>
          <w:i/>
          <w:spacing w:val="-4"/>
          <w:sz w:val="20"/>
        </w:rPr>
        <w:t>2025</w:t>
      </w:r>
    </w:p>
    <w:p w14:paraId="589F1390" w14:textId="77777777" w:rsidR="007000B3" w:rsidRDefault="00000000">
      <w:pPr>
        <w:pStyle w:val="BodyText"/>
        <w:spacing w:before="5"/>
        <w:rPr>
          <w:rFonts w:ascii="Calibri"/>
          <w:i/>
          <w:sz w:val="19"/>
        </w:rPr>
      </w:pPr>
      <w:r>
        <w:rPr>
          <w:rFonts w:ascii="Calibri"/>
          <w:i/>
          <w:noProof/>
          <w:sz w:val="19"/>
        </w:rPr>
        <mc:AlternateContent>
          <mc:Choice Requires="wps">
            <w:drawing>
              <wp:anchor distT="0" distB="0" distL="0" distR="0" simplePos="0" relativeHeight="487587840" behindDoc="1" locked="0" layoutInCell="1" allowOverlap="1" wp14:anchorId="5C617367" wp14:editId="21950B9D">
                <wp:simplePos x="0" y="0"/>
                <wp:positionH relativeFrom="page">
                  <wp:posOffset>1061008</wp:posOffset>
                </wp:positionH>
                <wp:positionV relativeFrom="paragraph">
                  <wp:posOffset>166026</wp:posOffset>
                </wp:positionV>
                <wp:extent cx="5622925"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2925" cy="18415"/>
                        </a:xfrm>
                        <a:custGeom>
                          <a:avLst/>
                          <a:gdLst/>
                          <a:ahLst/>
                          <a:cxnLst/>
                          <a:rect l="l" t="t" r="r" b="b"/>
                          <a:pathLst>
                            <a:path w="5622925" h="18415">
                              <a:moveTo>
                                <a:pt x="5622925" y="0"/>
                              </a:moveTo>
                              <a:lnTo>
                                <a:pt x="0" y="0"/>
                              </a:lnTo>
                              <a:lnTo>
                                <a:pt x="0" y="18288"/>
                              </a:lnTo>
                              <a:lnTo>
                                <a:pt x="5622925" y="18288"/>
                              </a:lnTo>
                              <a:lnTo>
                                <a:pt x="5622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31EAE5" id="Graphic 2" o:spid="_x0000_s1026" style="position:absolute;margin-left:83.55pt;margin-top:13.05pt;width:442.7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62292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" path="m5622925,l,,,18288r5622925,l5622925,xe" fillcolor="black" stroked="f">
                <v:path arrowok="t"/>
                <w10:wrap type="topAndBottom" anchorx="page"/>
              </v:shape>
            </w:pict>
          </mc:Fallback>
        </mc:AlternateContent>
      </w:r>
    </w:p>
    <w:p w14:paraId="69BE5AFE" w14:textId="77777777" w:rsidR="007000B3" w:rsidRDefault="00000000">
      <w:pPr>
        <w:tabs>
          <w:tab w:val="left" w:pos="6381"/>
        </w:tabs>
        <w:spacing w:before="1"/>
        <w:ind w:left="140"/>
        <w:rPr>
          <w:b/>
          <w:i/>
          <w:sz w:val="24"/>
        </w:rPr>
      </w:pPr>
      <w:r>
        <w:rPr>
          <w:b/>
          <w:i/>
          <w:sz w:val="24"/>
        </w:rPr>
        <w:t>Abstract</w:t>
      </w:r>
      <w:r>
        <w:rPr>
          <w:b/>
          <w:i/>
          <w:spacing w:val="-1"/>
          <w:sz w:val="24"/>
        </w:rPr>
        <w:t xml:space="preserve"> </w:t>
      </w:r>
      <w:r>
        <w:rPr>
          <w:b/>
          <w:i/>
          <w:sz w:val="24"/>
        </w:rPr>
        <w:t>No:</w:t>
      </w:r>
      <w:r>
        <w:rPr>
          <w:b/>
          <w:i/>
          <w:spacing w:val="-1"/>
          <w:sz w:val="24"/>
        </w:rPr>
        <w:t xml:space="preserve"> </w:t>
      </w:r>
      <w:r>
        <w:rPr>
          <w:b/>
          <w:i/>
          <w:sz w:val="24"/>
        </w:rPr>
        <w:t>(for</w:t>
      </w:r>
      <w:r>
        <w:rPr>
          <w:b/>
          <w:i/>
          <w:spacing w:val="-1"/>
          <w:sz w:val="24"/>
        </w:rPr>
        <w:t xml:space="preserve"> </w:t>
      </w:r>
      <w:r>
        <w:rPr>
          <w:b/>
          <w:i/>
          <w:sz w:val="24"/>
        </w:rPr>
        <w:t>official</w:t>
      </w:r>
      <w:r>
        <w:rPr>
          <w:b/>
          <w:i/>
          <w:spacing w:val="-1"/>
          <w:sz w:val="24"/>
        </w:rPr>
        <w:t xml:space="preserve"> </w:t>
      </w:r>
      <w:r>
        <w:rPr>
          <w:b/>
          <w:i/>
          <w:sz w:val="24"/>
        </w:rPr>
        <w:t>use</w:t>
      </w:r>
      <w:r>
        <w:rPr>
          <w:b/>
          <w:i/>
          <w:spacing w:val="-1"/>
          <w:sz w:val="24"/>
        </w:rPr>
        <w:t xml:space="preserve"> </w:t>
      </w:r>
      <w:r>
        <w:rPr>
          <w:b/>
          <w:i/>
          <w:spacing w:val="-2"/>
          <w:sz w:val="24"/>
        </w:rPr>
        <w:t>only)</w:t>
      </w:r>
      <w:r>
        <w:rPr>
          <w:b/>
          <w:i/>
          <w:sz w:val="24"/>
        </w:rPr>
        <w:tab/>
        <w:t>Type</w:t>
      </w:r>
      <w:r>
        <w:rPr>
          <w:b/>
          <w:i/>
          <w:spacing w:val="-3"/>
          <w:sz w:val="24"/>
        </w:rPr>
        <w:t xml:space="preserve"> </w:t>
      </w:r>
      <w:r>
        <w:rPr>
          <w:b/>
          <w:i/>
          <w:sz w:val="24"/>
        </w:rPr>
        <w:t>your</w:t>
      </w:r>
      <w:r>
        <w:rPr>
          <w:b/>
          <w:i/>
          <w:spacing w:val="-1"/>
          <w:sz w:val="24"/>
        </w:rPr>
        <w:t xml:space="preserve"> </w:t>
      </w:r>
      <w:r>
        <w:rPr>
          <w:b/>
          <w:i/>
          <w:sz w:val="24"/>
        </w:rPr>
        <w:t xml:space="preserve">Theme </w:t>
      </w:r>
      <w:r>
        <w:rPr>
          <w:b/>
          <w:i/>
          <w:spacing w:val="-2"/>
          <w:sz w:val="24"/>
        </w:rPr>
        <w:t>here.</w:t>
      </w:r>
    </w:p>
    <w:p w14:paraId="46B5C0C1" w14:textId="77777777" w:rsidR="007000B3" w:rsidRDefault="007000B3">
      <w:pPr>
        <w:pStyle w:val="BodyText"/>
        <w:rPr>
          <w:b/>
          <w:i/>
        </w:rPr>
      </w:pPr>
    </w:p>
    <w:p w14:paraId="45B076F7" w14:textId="77777777" w:rsidR="007000B3" w:rsidRDefault="007000B3">
      <w:pPr>
        <w:pStyle w:val="BodyText"/>
        <w:spacing w:before="1"/>
        <w:rPr>
          <w:b/>
          <w:i/>
        </w:rPr>
      </w:pPr>
    </w:p>
    <w:p w14:paraId="6E5C2351" w14:textId="71CE5180" w:rsidR="007000B3" w:rsidRPr="00E6401C" w:rsidRDefault="00E6401C" w:rsidP="00E6401C">
      <w:pPr>
        <w:pStyle w:val="BodyText"/>
        <w:spacing w:before="1"/>
        <w:jc w:val="center"/>
        <w:rPr>
          <w:b/>
          <w:bCs/>
        </w:rPr>
      </w:pPr>
      <w:r w:rsidRPr="00E6401C">
        <w:rPr>
          <w:b/>
          <w:bCs/>
        </w:rPr>
        <w:t>ENSEMBLE DEEP LEARNING APPROACHES FOR MULTICLASS CLASSIFICATION OF HIP REGION FRACTURES IN X-RAY IMAGES</w:t>
      </w:r>
    </w:p>
    <w:p w14:paraId="5FC3D0D0" w14:textId="77777777" w:rsidR="007000B3" w:rsidRDefault="007000B3">
      <w:pPr>
        <w:pStyle w:val="BodyText"/>
        <w:spacing w:before="15"/>
        <w:rPr>
          <w:b/>
        </w:rPr>
      </w:pPr>
    </w:p>
    <w:p w14:paraId="741AE29B" w14:textId="77777777" w:rsidR="007000B3" w:rsidRDefault="007000B3">
      <w:pPr>
        <w:pStyle w:val="BodyText"/>
        <w:rPr>
          <w:b/>
        </w:rPr>
      </w:pPr>
    </w:p>
    <w:p w14:paraId="1FB9E934" w14:textId="4727E483" w:rsidR="007000B3" w:rsidRDefault="00D7008A" w:rsidP="00D7008A">
      <w:pPr>
        <w:jc w:val="both"/>
      </w:pPr>
      <w:r>
        <w:rPr>
          <w:sz w:val="24"/>
          <w:szCs w:val="24"/>
        </w:rPr>
        <w:t xml:space="preserve">Hip region fractures, including pelvic, femoral neck, intertrochanteric, and subtrochanteric fractures, are critical medical conditions, especially when diagnosed early. These fractures impair mobility, increase risks, and cause complications. Early diagnosis using X-ray imaging is vital for effective treatment. Recent advances in computer vision, particularly ensemble </w:t>
      </w:r>
      <w:r w:rsidR="00260BCB">
        <w:rPr>
          <w:sz w:val="24"/>
          <w:szCs w:val="24"/>
        </w:rPr>
        <w:t>pretrained models</w:t>
      </w:r>
      <w:r>
        <w:rPr>
          <w:sz w:val="24"/>
          <w:szCs w:val="24"/>
        </w:rPr>
        <w:t xml:space="preserve"> have revolutionized fracture detection by combining various models to improve classification accuracy and stability. Th</w:t>
      </w:r>
      <w:r w:rsidR="00260BCB">
        <w:rPr>
          <w:sz w:val="24"/>
          <w:szCs w:val="24"/>
        </w:rPr>
        <w:t xml:space="preserve">is </w:t>
      </w:r>
      <w:r>
        <w:rPr>
          <w:sz w:val="24"/>
          <w:szCs w:val="24"/>
        </w:rPr>
        <w:t>research develop</w:t>
      </w:r>
      <w:r w:rsidR="00260BCB">
        <w:rPr>
          <w:sz w:val="24"/>
          <w:szCs w:val="24"/>
        </w:rPr>
        <w:t>ed</w:t>
      </w:r>
      <w:r>
        <w:rPr>
          <w:sz w:val="24"/>
          <w:szCs w:val="24"/>
        </w:rPr>
        <w:t xml:space="preserve"> and evaluate</w:t>
      </w:r>
      <w:r w:rsidR="00260BCB">
        <w:rPr>
          <w:sz w:val="24"/>
          <w:szCs w:val="24"/>
        </w:rPr>
        <w:t>d</w:t>
      </w:r>
      <w:r>
        <w:rPr>
          <w:sz w:val="24"/>
          <w:szCs w:val="24"/>
        </w:rPr>
        <w:t xml:space="preserve"> ensemble deep learning methods for multiclass classification of hip fractures on X-ray images. The dataset consists of 1000 X-ray images from Sri Lankan hospitals (2022-2023), categorized into five types: non-fracture, femoral neck, intertrochanteric, subtrochanteric, and combined fractures. Preprocessing and data augmentation techniques are used to increase dataset diversity. The data was split into </w:t>
      </w:r>
      <w:r w:rsidR="00260BCB">
        <w:rPr>
          <w:sz w:val="24"/>
          <w:szCs w:val="24"/>
        </w:rPr>
        <w:t>70:15:15</w:t>
      </w:r>
      <w:r>
        <w:rPr>
          <w:sz w:val="24"/>
          <w:szCs w:val="24"/>
        </w:rPr>
        <w:t xml:space="preserve"> for training validation, and</w:t>
      </w:r>
      <w:r w:rsidR="00260BCB">
        <w:rPr>
          <w:sz w:val="24"/>
          <w:szCs w:val="24"/>
        </w:rPr>
        <w:t xml:space="preserve"> </w:t>
      </w:r>
      <w:r>
        <w:rPr>
          <w:sz w:val="24"/>
          <w:szCs w:val="24"/>
        </w:rPr>
        <w:t xml:space="preserve">testing to evaluate performance. The </w:t>
      </w:r>
      <w:r w:rsidR="00260BCB">
        <w:rPr>
          <w:sz w:val="24"/>
          <w:szCs w:val="24"/>
        </w:rPr>
        <w:t xml:space="preserve">pretrained </w:t>
      </w:r>
      <w:r>
        <w:rPr>
          <w:sz w:val="24"/>
          <w:szCs w:val="24"/>
        </w:rPr>
        <w:t>model architectures include ResNet-101, ResNet-50, EfficientNetB0, and EfficientNetV2, with ResNet-10</w:t>
      </w:r>
      <w:r w:rsidR="00260BCB">
        <w:rPr>
          <w:sz w:val="24"/>
          <w:szCs w:val="24"/>
        </w:rPr>
        <w:t xml:space="preserve"> were taken with different level parametrized training.</w:t>
      </w:r>
      <w:r>
        <w:rPr>
          <w:sz w:val="24"/>
          <w:szCs w:val="24"/>
        </w:rPr>
        <w:t xml:space="preserve"> </w:t>
      </w:r>
      <w:r w:rsidR="00260BCB">
        <w:rPr>
          <w:sz w:val="24"/>
          <w:szCs w:val="24"/>
        </w:rPr>
        <w:t xml:space="preserve">ResNet101 </w:t>
      </w:r>
      <w:r>
        <w:rPr>
          <w:sz w:val="24"/>
          <w:szCs w:val="24"/>
        </w:rPr>
        <w:t xml:space="preserve">achieving the highest test accuracy of 0.8000, followed by ResNet-50 (0.7786), EfficientNetB0 (0.7286), and EfficientNetV2 (0.7500). </w:t>
      </w:r>
      <w:r w:rsidR="00260BCB">
        <w:rPr>
          <w:sz w:val="24"/>
          <w:szCs w:val="24"/>
        </w:rPr>
        <w:t>These pretrained model induce as e</w:t>
      </w:r>
      <w:r>
        <w:rPr>
          <w:sz w:val="24"/>
          <w:szCs w:val="24"/>
        </w:rPr>
        <w:t xml:space="preserve">nsemble learning </w:t>
      </w:r>
      <w:r w:rsidR="00260BCB">
        <w:rPr>
          <w:sz w:val="24"/>
          <w:szCs w:val="24"/>
        </w:rPr>
        <w:t>models and</w:t>
      </w:r>
      <w:r>
        <w:rPr>
          <w:sz w:val="24"/>
          <w:szCs w:val="24"/>
        </w:rPr>
        <w:t xml:space="preserve"> enhance multiclass hip fracture classification, yielding more accurate results</w:t>
      </w:r>
      <w:r w:rsidR="00260BCB">
        <w:rPr>
          <w:sz w:val="24"/>
          <w:szCs w:val="24"/>
        </w:rPr>
        <w:t xml:space="preserve"> rather comparing to customized vision models.</w:t>
      </w:r>
      <w:r>
        <w:rPr>
          <w:sz w:val="24"/>
          <w:szCs w:val="24"/>
        </w:rPr>
        <w:t xml:space="preserve"> This approach has potential clinical applications, aiding early and reliable diagnosis. </w:t>
      </w:r>
      <w:r w:rsidR="00260BCB">
        <w:rPr>
          <w:sz w:val="24"/>
          <w:szCs w:val="24"/>
        </w:rPr>
        <w:t>Further it can extend to differentiate the components of hip region individually with</w:t>
      </w:r>
      <w:r>
        <w:rPr>
          <w:sz w:val="24"/>
          <w:szCs w:val="24"/>
        </w:rPr>
        <w:t xml:space="preserve"> sophisticated data augmentation techniques </w:t>
      </w:r>
      <w:r w:rsidR="00260BCB">
        <w:rPr>
          <w:sz w:val="24"/>
          <w:szCs w:val="24"/>
        </w:rPr>
        <w:t>that helps for the classification.</w:t>
      </w:r>
      <w:r w:rsidR="007E6A30">
        <w:rPr>
          <w:sz w:val="24"/>
          <w:szCs w:val="24"/>
        </w:rPr>
        <w:t xml:space="preserve"> This research proves that pretrained models can be effective in biomedical rather building and training it in the scratch.</w:t>
      </w:r>
    </w:p>
    <w:p w14:paraId="7E76F0B8" w14:textId="0AA26596" w:rsidR="007000B3" w:rsidRDefault="007000B3" w:rsidP="00260BCB">
      <w:pPr>
        <w:rPr>
          <w:i/>
          <w:sz w:val="24"/>
        </w:rPr>
      </w:pPr>
    </w:p>
    <w:p w14:paraId="33FDCDC3" w14:textId="77777777" w:rsidR="007000B3" w:rsidRDefault="007000B3">
      <w:pPr>
        <w:pStyle w:val="BodyText"/>
        <w:spacing w:before="1"/>
        <w:rPr>
          <w:i/>
        </w:rPr>
      </w:pPr>
    </w:p>
    <w:p w14:paraId="2ACB82B0" w14:textId="10F68AD6" w:rsidR="007000B3" w:rsidRDefault="00000000">
      <w:pPr>
        <w:pStyle w:val="BodyText"/>
        <w:ind w:left="140" w:right="131"/>
        <w:jc w:val="both"/>
      </w:pPr>
      <w:r>
        <w:rPr>
          <w:b/>
        </w:rPr>
        <w:t>Keywords</w:t>
      </w:r>
      <w:r>
        <w:t>:</w:t>
      </w:r>
      <w:r w:rsidR="00E6401C">
        <w:t xml:space="preserve"> Ensemble deep learning</w:t>
      </w:r>
      <w:r w:rsidR="00260BCB">
        <w:t xml:space="preserve"> models</w:t>
      </w:r>
      <w:r w:rsidR="00E6401C">
        <w:t xml:space="preserve">, Hip region fracture, Multiclass </w:t>
      </w:r>
      <w:r w:rsidR="00260BCB">
        <w:t>Fracture C</w:t>
      </w:r>
      <w:r w:rsidR="00E6401C">
        <w:t>lassification,</w:t>
      </w:r>
      <w:r w:rsidR="007E6A30">
        <w:t xml:space="preserve"> Pretrained Vision </w:t>
      </w:r>
      <w:proofErr w:type="gramStart"/>
      <w:r w:rsidR="007E6A30">
        <w:t xml:space="preserve">Models </w:t>
      </w:r>
      <w:r w:rsidR="00E6401C">
        <w:t>,</w:t>
      </w:r>
      <w:proofErr w:type="gramEnd"/>
      <w:r w:rsidR="00E6401C">
        <w:t xml:space="preserve"> X-ray images</w:t>
      </w:r>
    </w:p>
    <w:sectPr w:rsidR="007000B3">
      <w:footerReference w:type="default" r:id="rId6"/>
      <w:type w:val="continuous"/>
      <w:pgSz w:w="11910" w:h="16840"/>
      <w:pgMar w:top="880" w:right="1275" w:bottom="940" w:left="1559" w:header="0" w:footer="7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B1190" w14:textId="77777777" w:rsidR="0003646E" w:rsidRDefault="0003646E">
      <w:r>
        <w:separator/>
      </w:r>
    </w:p>
  </w:endnote>
  <w:endnote w:type="continuationSeparator" w:id="0">
    <w:p w14:paraId="2323FCEC" w14:textId="77777777" w:rsidR="0003646E" w:rsidRDefault="00036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710E8" w14:textId="77777777" w:rsidR="007000B3" w:rsidRDefault="00000000">
    <w:pPr>
      <w:pStyle w:val="BodyText"/>
      <w:spacing w:line="14" w:lineRule="auto"/>
      <w:rPr>
        <w:sz w:val="20"/>
      </w:rPr>
    </w:pPr>
    <w:r>
      <w:rPr>
        <w:noProof/>
        <w:sz w:val="20"/>
      </w:rPr>
      <mc:AlternateContent>
        <mc:Choice Requires="wps">
          <w:drawing>
            <wp:anchor distT="0" distB="0" distL="0" distR="0" simplePos="0" relativeHeight="487550464" behindDoc="1" locked="0" layoutInCell="1" allowOverlap="1" wp14:anchorId="06128F0F" wp14:editId="1106EBEC">
              <wp:simplePos x="0" y="0"/>
              <wp:positionH relativeFrom="page">
                <wp:posOffset>3823842</wp:posOffset>
              </wp:positionH>
              <wp:positionV relativeFrom="page">
                <wp:posOffset>10074655</wp:posOffset>
              </wp:positionV>
              <wp:extent cx="965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735"/>
                      </a:xfrm>
                      <a:prstGeom prst="rect">
                        <a:avLst/>
                      </a:prstGeom>
                    </wps:spPr>
                    <wps:txbx>
                      <w:txbxContent>
                        <w:p w14:paraId="40DB36B2" w14:textId="77777777" w:rsidR="007000B3" w:rsidRDefault="00000000">
                          <w:pPr>
                            <w:spacing w:line="245" w:lineRule="exact"/>
                            <w:ind w:left="20"/>
                            <w:rPr>
                              <w:rFonts w:ascii="Calibri"/>
                            </w:rPr>
                          </w:pPr>
                          <w:r>
                            <w:rPr>
                              <w:rFonts w:ascii="Calibri"/>
                              <w:spacing w:val="-10"/>
                            </w:rPr>
                            <w:t>1</w:t>
                          </w:r>
                        </w:p>
                      </w:txbxContent>
                    </wps:txbx>
                    <wps:bodyPr wrap="square" lIns="0" tIns="0" rIns="0" bIns="0" rtlCol="0">
                      <a:noAutofit/>
                    </wps:bodyPr>
                  </wps:wsp>
                </a:graphicData>
              </a:graphic>
            </wp:anchor>
          </w:drawing>
        </mc:Choice>
        <mc:Fallback>
          <w:pict>
            <v:shapetype w14:anchorId="06128F0F" id="_x0000_t202" coordsize="21600,21600" o:spt="202" path="m,l,21600r21600,l21600,xe">
              <v:stroke joinstyle="miter"/>
              <v:path gradientshapeok="t" o:connecttype="rect"/>
            </v:shapetype>
            <v:shape id="Textbox 1" o:spid="_x0000_s1026" type="#_x0000_t202" style="position:absolute;margin-left:301.1pt;margin-top:793.3pt;width:7.6pt;height:13.05pt;z-index:-1576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" filled="f" stroked="f">
              <v:textbox inset="0,0,0,0">
                <w:txbxContent>
                  <w:p w14:paraId="40DB36B2" w14:textId="77777777" w:rsidR="007000B3" w:rsidRDefault="00000000">
                    <w:pPr>
                      <w:spacing w:line="245" w:lineRule="exact"/>
                      <w:ind w:left="20"/>
                      <w:rPr>
                        <w:rFonts w:ascii="Calibri"/>
                      </w:rPr>
                    </w:pPr>
                    <w:r>
                      <w:rPr>
                        <w:rFonts w:ascii="Calibri"/>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A9D65" w14:textId="77777777" w:rsidR="0003646E" w:rsidRDefault="0003646E">
      <w:r>
        <w:separator/>
      </w:r>
    </w:p>
  </w:footnote>
  <w:footnote w:type="continuationSeparator" w:id="0">
    <w:p w14:paraId="05DE71EB" w14:textId="77777777" w:rsidR="0003646E" w:rsidRDefault="00036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B3"/>
    <w:rsid w:val="0003646E"/>
    <w:rsid w:val="001366EE"/>
    <w:rsid w:val="001827E2"/>
    <w:rsid w:val="00235087"/>
    <w:rsid w:val="00260BCB"/>
    <w:rsid w:val="00330392"/>
    <w:rsid w:val="00376A25"/>
    <w:rsid w:val="00650866"/>
    <w:rsid w:val="007000B3"/>
    <w:rsid w:val="007E6A30"/>
    <w:rsid w:val="008C037B"/>
    <w:rsid w:val="00D7008A"/>
    <w:rsid w:val="00DB616D"/>
    <w:rsid w:val="00E6401C"/>
    <w:rsid w:val="00EF2022"/>
    <w:rsid w:val="00F06DC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33EFC"/>
  <w15:docId w15:val="{41D22758-A5AD-4D5C-B217-F270F164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40" w:hanging="2972"/>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AMIR</dc:creator>
  <cp:lastModifiedBy>Abishethvarman V</cp:lastModifiedBy>
  <cp:revision>2</cp:revision>
  <dcterms:created xsi:type="dcterms:W3CDTF">2025-06-29T23:02:00Z</dcterms:created>
  <dcterms:modified xsi:type="dcterms:W3CDTF">2025-06-29T23:02:00Z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Microsoft® Word for Microsoft 365</vt:lpwstr>
  </property>
  <property fmtid="{D5CDD505-2E9C-101B-9397-08002B2CF9AE}" pid="4" name="LastSaved">
    <vt:filetime>2025-06-29T00:00:00Z</vt:filetime>
  </property>
  <property fmtid="{D5CDD505-2E9C-101B-9397-08002B2CF9AE}" pid="5" name="Producer">
    <vt:lpwstr>3-Heights(TM) PDF Security Shell 4.8.25.2 (http://www.pdf-tools.com)</vt:lpwstr>
  </property>
  <property fmtid="{D5CDD505-2E9C-101B-9397-08002B2CF9AE}" pid="6" name="GrammarlyDocumentId">
    <vt:lpwstr>5f07a059-6ec0-4b93-a11a-dd053dd2209d</vt:lpwstr>
  </property>
</Properties>
</file>