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B0430" w14:textId="55FF2643" w:rsidR="0037184F" w:rsidRPr="00D25EFF" w:rsidRDefault="00071152" w:rsidP="00DB0CE4">
      <w:pPr>
        <w:pStyle w:val="Normal1"/>
        <w:spacing w:before="240" w:after="240" w:line="360" w:lineRule="auto"/>
        <w:jc w:val="center"/>
        <w:rPr>
          <w:b/>
          <w:sz w:val="28"/>
          <w:szCs w:val="28"/>
        </w:rPr>
      </w:pPr>
      <w:r>
        <w:rPr>
          <w:b/>
          <w:sz w:val="28"/>
          <w:szCs w:val="28"/>
        </w:rPr>
        <w:t>Understanding Risk Factors for Dry Eye Disease: A Statistical Analysis of Lifestyle and Health Factors</w:t>
      </w:r>
    </w:p>
    <w:p w14:paraId="17957845" w14:textId="1A24D7C3" w:rsidR="008875CC" w:rsidRPr="008875CC" w:rsidRDefault="008875CC" w:rsidP="008875CC">
      <w:pPr>
        <w:pStyle w:val="Normal1"/>
        <w:spacing w:before="200" w:line="360" w:lineRule="auto"/>
        <w:rPr>
          <w:b/>
          <w:bCs/>
          <w:sz w:val="24"/>
          <w:szCs w:val="24"/>
        </w:rPr>
      </w:pPr>
      <w:r w:rsidRPr="008875CC">
        <w:rPr>
          <w:b/>
          <w:bCs/>
          <w:sz w:val="24"/>
          <w:szCs w:val="24"/>
        </w:rPr>
        <w:t>Introduction</w:t>
      </w:r>
    </w:p>
    <w:p w14:paraId="5C33B546" w14:textId="2CB0A716" w:rsidR="008875CC" w:rsidRPr="008875CC" w:rsidRDefault="00C12FA4" w:rsidP="008875CC">
      <w:pPr>
        <w:pStyle w:val="Normal1"/>
        <w:spacing w:before="200" w:line="360" w:lineRule="auto"/>
        <w:rPr>
          <w:sz w:val="24"/>
          <w:szCs w:val="24"/>
        </w:rPr>
      </w:pPr>
      <w:r>
        <w:rPr>
          <w:sz w:val="24"/>
          <w:szCs w:val="24"/>
        </w:rPr>
        <w:t>Dry Eye Disease (DED) affects millions worldwide, causing discomfort, redness, and irritation that impair quality of life. With modern lifestyles involving increased screen time and stress, understanding DED’s risk factors is essential. This study utilizes a comprehensive dataset to examine associations between DED and demographic factors (age, gender), lifestyle factors (sleep duration, screen time, smoking), and health-related factors (stress level, sleep quality). The goal is to identify significant predictors of DED to guide preventive measures.</w:t>
      </w:r>
    </w:p>
    <w:p w14:paraId="46BE1FD6" w14:textId="77777777" w:rsidR="008875CC" w:rsidRPr="008875CC" w:rsidRDefault="008875CC" w:rsidP="008875CC">
      <w:pPr>
        <w:pStyle w:val="Normal1"/>
        <w:spacing w:before="200" w:line="360" w:lineRule="auto"/>
        <w:rPr>
          <w:b/>
          <w:bCs/>
          <w:sz w:val="24"/>
          <w:szCs w:val="24"/>
        </w:rPr>
      </w:pPr>
      <w:r w:rsidRPr="008875CC">
        <w:rPr>
          <w:b/>
          <w:bCs/>
          <w:sz w:val="24"/>
          <w:szCs w:val="24"/>
        </w:rPr>
        <w:t>Dataset</w:t>
      </w:r>
    </w:p>
    <w:p w14:paraId="06D833AE" w14:textId="4BC2C474" w:rsidR="008875CC" w:rsidRPr="008875CC" w:rsidRDefault="008875CC" w:rsidP="008875CC">
      <w:pPr>
        <w:pStyle w:val="Normal1"/>
        <w:spacing w:before="200" w:line="360" w:lineRule="auto"/>
        <w:rPr>
          <w:sz w:val="24"/>
          <w:szCs w:val="24"/>
        </w:rPr>
      </w:pPr>
      <w:r w:rsidRPr="008875CC">
        <w:rPr>
          <w:sz w:val="24"/>
          <w:szCs w:val="24"/>
        </w:rPr>
        <w:t xml:space="preserve">The </w:t>
      </w:r>
      <w:r w:rsidR="00DB0CE4">
        <w:rPr>
          <w:sz w:val="24"/>
          <w:szCs w:val="24"/>
        </w:rPr>
        <w:t xml:space="preserve">data </w:t>
      </w:r>
      <w:r w:rsidRPr="008875CC">
        <w:rPr>
          <w:sz w:val="24"/>
          <w:szCs w:val="24"/>
        </w:rPr>
        <w:t>contains 200</w:t>
      </w:r>
      <w:r w:rsidR="00DB0CE4">
        <w:rPr>
          <w:sz w:val="24"/>
          <w:szCs w:val="24"/>
        </w:rPr>
        <w:t>0</w:t>
      </w:r>
      <w:r w:rsidRPr="008875CC">
        <w:rPr>
          <w:sz w:val="24"/>
          <w:szCs w:val="24"/>
        </w:rPr>
        <w:t xml:space="preserve"> records with variables including gender, age, sleep duration, sleep quality (1–5 scale), stress level (1–5 scale), blood pressure, heart rate, daily steps, physical activity, height, weight, sleep disorder, wake-up during night, daytime sleepiness, caffeine/alcohol consumption, smoking, medical issues, medication use, smart device use before bed, average screen time, blue-light filter usage, and ocular symptoms (discomfort/eye strain, redness, itchiness, DED diagnosis). All variables are used to assess their impact on DED prevalence.</w:t>
      </w:r>
    </w:p>
    <w:p w14:paraId="2F435302" w14:textId="77777777" w:rsidR="008875CC" w:rsidRPr="008875CC" w:rsidRDefault="008875CC" w:rsidP="008875CC">
      <w:pPr>
        <w:pStyle w:val="Normal1"/>
        <w:spacing w:before="200" w:line="360" w:lineRule="auto"/>
        <w:rPr>
          <w:b/>
          <w:bCs/>
          <w:sz w:val="24"/>
          <w:szCs w:val="24"/>
        </w:rPr>
      </w:pPr>
      <w:r w:rsidRPr="008875CC">
        <w:rPr>
          <w:b/>
          <w:bCs/>
          <w:sz w:val="24"/>
          <w:szCs w:val="24"/>
        </w:rPr>
        <w:t>Methodology</w:t>
      </w:r>
    </w:p>
    <w:p w14:paraId="7A96F9E8" w14:textId="77777777" w:rsidR="00DB0CE4" w:rsidRDefault="008875CC" w:rsidP="008875CC">
      <w:pPr>
        <w:pStyle w:val="Normal1"/>
        <w:spacing w:before="200" w:line="360" w:lineRule="auto"/>
        <w:rPr>
          <w:sz w:val="24"/>
          <w:szCs w:val="24"/>
        </w:rPr>
      </w:pPr>
      <w:r w:rsidRPr="008875CC">
        <w:rPr>
          <w:sz w:val="24"/>
          <w:szCs w:val="24"/>
        </w:rPr>
        <w:t xml:space="preserve">Data preprocessing involved converting categorical variables (e.g., "Y"/"N" for DED, symptoms, smoking) to binary (1/0) and checking for missing values (none found). Descriptive statistics summarized DED prevalence and variable distributions. Pearson correlation analysis examined relationships between continuous variables (e.g., screen time, sleep duration) and DED. A logistic regression model predicted DED using predictors: age, gender, sleep quality, stress level, screen time, smoking, and blue-light filter usage. Model performance was evaluated via accuracy, precision, recall, and area under the ROC curve (AUC). Statistical tests (chi-square for categorical, t-tests for </w:t>
      </w:r>
      <w:r w:rsidRPr="008875CC">
        <w:rPr>
          <w:sz w:val="24"/>
          <w:szCs w:val="24"/>
        </w:rPr>
        <w:lastRenderedPageBreak/>
        <w:t>continuous variables) compared DED prevalence across groups. Significance was set at p &lt; 0.05. Visualizations (bar plots, box plots, correlation heatmaps) were generated to illustrate findings.</w:t>
      </w:r>
    </w:p>
    <w:p w14:paraId="1DDEDA4D" w14:textId="1EFD684C" w:rsidR="008875CC" w:rsidRPr="00DB0CE4" w:rsidRDefault="008875CC" w:rsidP="008875CC">
      <w:pPr>
        <w:pStyle w:val="Normal1"/>
        <w:spacing w:before="200" w:line="360" w:lineRule="auto"/>
        <w:rPr>
          <w:sz w:val="24"/>
          <w:szCs w:val="24"/>
        </w:rPr>
      </w:pPr>
      <w:r w:rsidRPr="008875CC">
        <w:rPr>
          <w:b/>
          <w:bCs/>
          <w:sz w:val="24"/>
          <w:szCs w:val="24"/>
        </w:rPr>
        <w:t>Results</w:t>
      </w:r>
    </w:p>
    <w:p w14:paraId="09697E70" w14:textId="7DE619A5" w:rsidR="008875CC" w:rsidRPr="008875CC" w:rsidRDefault="008875CC" w:rsidP="008875CC">
      <w:pPr>
        <w:pStyle w:val="Normal1"/>
        <w:spacing w:before="200" w:line="360" w:lineRule="auto"/>
        <w:rPr>
          <w:sz w:val="24"/>
          <w:szCs w:val="24"/>
        </w:rPr>
      </w:pPr>
      <w:r w:rsidRPr="008875CC">
        <w:rPr>
          <w:sz w:val="24"/>
          <w:szCs w:val="24"/>
        </w:rPr>
        <w:t xml:space="preserve">The dataset showed a DED prevalence of 52% (104/200 individuals). Descriptive statistics revealed </w:t>
      </w:r>
      <w:r w:rsidR="00C12FA4">
        <w:rPr>
          <w:sz w:val="24"/>
          <w:szCs w:val="24"/>
        </w:rPr>
        <w:t xml:space="preserve">a </w:t>
      </w:r>
      <w:r w:rsidRPr="008875CC">
        <w:rPr>
          <w:sz w:val="24"/>
          <w:szCs w:val="24"/>
        </w:rPr>
        <w:t>mean age of 32.4 years (SD = 8.7), with 54% females. Mean screen time was 5.8 hours/day (SD = 2.6), and 48% reported smoking. Correlation analysis indicated significant associations between DED and screen time (r = 0.32, p &lt; 0.01), stress level (r = 0.28, p &lt; 0.05), and sleep quality (r = -0.25, p &lt; 0.05). No significant correlation was found with sleep duration (r = -0.12, p = 0.09).</w:t>
      </w:r>
    </w:p>
    <w:p w14:paraId="2F244696" w14:textId="77777777" w:rsidR="008875CC" w:rsidRPr="008875CC" w:rsidRDefault="008875CC" w:rsidP="00D20F47">
      <w:pPr>
        <w:pStyle w:val="Normal1"/>
        <w:spacing w:before="200" w:line="360" w:lineRule="auto"/>
        <w:jc w:val="center"/>
        <w:rPr>
          <w:sz w:val="24"/>
          <w:szCs w:val="24"/>
        </w:rPr>
      </w:pPr>
      <w:r w:rsidRPr="008875CC">
        <w:rPr>
          <w:b/>
          <w:bCs/>
          <w:sz w:val="24"/>
          <w:szCs w:val="24"/>
        </w:rPr>
        <w:t>Table 1: Descriptive Statistics of Key Variables</w:t>
      </w:r>
    </w:p>
    <w:tbl>
      <w:tblPr>
        <w:tblStyle w:val="TableGrid"/>
        <w:tblW w:w="0" w:type="auto"/>
        <w:jc w:val="center"/>
        <w:tblLook w:val="04A0" w:firstRow="1" w:lastRow="0" w:firstColumn="1" w:lastColumn="0" w:noHBand="0" w:noVBand="1"/>
      </w:tblPr>
      <w:tblGrid>
        <w:gridCol w:w="2189"/>
        <w:gridCol w:w="1916"/>
        <w:gridCol w:w="1316"/>
        <w:gridCol w:w="1236"/>
        <w:gridCol w:w="977"/>
      </w:tblGrid>
      <w:tr w:rsidR="008875CC" w:rsidRPr="008875CC" w14:paraId="71B9E775" w14:textId="77777777" w:rsidTr="00DB0CE4">
        <w:trPr>
          <w:jc w:val="center"/>
        </w:trPr>
        <w:tc>
          <w:tcPr>
            <w:tcW w:w="0" w:type="auto"/>
            <w:hideMark/>
          </w:tcPr>
          <w:p w14:paraId="1DB4AF4D" w14:textId="77777777" w:rsidR="008875CC" w:rsidRPr="008875CC" w:rsidRDefault="008875CC" w:rsidP="008875CC">
            <w:pPr>
              <w:pStyle w:val="Normal1"/>
              <w:spacing w:before="200" w:line="360" w:lineRule="auto"/>
              <w:rPr>
                <w:b/>
                <w:bCs/>
                <w:sz w:val="24"/>
                <w:szCs w:val="24"/>
              </w:rPr>
            </w:pPr>
            <w:r w:rsidRPr="008875CC">
              <w:rPr>
                <w:b/>
                <w:bCs/>
                <w:sz w:val="24"/>
                <w:szCs w:val="24"/>
              </w:rPr>
              <w:t>Variable</w:t>
            </w:r>
          </w:p>
        </w:tc>
        <w:tc>
          <w:tcPr>
            <w:tcW w:w="0" w:type="auto"/>
            <w:hideMark/>
          </w:tcPr>
          <w:p w14:paraId="37B5E966" w14:textId="77777777" w:rsidR="008875CC" w:rsidRPr="008875CC" w:rsidRDefault="008875CC" w:rsidP="008875CC">
            <w:pPr>
              <w:pStyle w:val="Normal1"/>
              <w:spacing w:before="200" w:line="360" w:lineRule="auto"/>
              <w:rPr>
                <w:b/>
                <w:bCs/>
                <w:sz w:val="24"/>
                <w:szCs w:val="24"/>
              </w:rPr>
            </w:pPr>
            <w:r w:rsidRPr="008875CC">
              <w:rPr>
                <w:b/>
                <w:bCs/>
                <w:sz w:val="24"/>
                <w:szCs w:val="24"/>
              </w:rPr>
              <w:t>Mean (SD) or %</w:t>
            </w:r>
          </w:p>
        </w:tc>
        <w:tc>
          <w:tcPr>
            <w:tcW w:w="0" w:type="auto"/>
            <w:hideMark/>
          </w:tcPr>
          <w:p w14:paraId="58C7D262" w14:textId="77777777" w:rsidR="008875CC" w:rsidRPr="008875CC" w:rsidRDefault="008875CC" w:rsidP="008875CC">
            <w:pPr>
              <w:pStyle w:val="Normal1"/>
              <w:spacing w:before="200" w:line="360" w:lineRule="auto"/>
              <w:rPr>
                <w:b/>
                <w:bCs/>
                <w:sz w:val="24"/>
                <w:szCs w:val="24"/>
              </w:rPr>
            </w:pPr>
            <w:r w:rsidRPr="008875CC">
              <w:rPr>
                <w:b/>
                <w:bCs/>
                <w:sz w:val="24"/>
                <w:szCs w:val="24"/>
              </w:rPr>
              <w:t>DED (Yes)</w:t>
            </w:r>
          </w:p>
        </w:tc>
        <w:tc>
          <w:tcPr>
            <w:tcW w:w="0" w:type="auto"/>
            <w:hideMark/>
          </w:tcPr>
          <w:p w14:paraId="04DEDBC3" w14:textId="77777777" w:rsidR="008875CC" w:rsidRPr="008875CC" w:rsidRDefault="008875CC" w:rsidP="008875CC">
            <w:pPr>
              <w:pStyle w:val="Normal1"/>
              <w:spacing w:before="200" w:line="360" w:lineRule="auto"/>
              <w:rPr>
                <w:b/>
                <w:bCs/>
                <w:sz w:val="24"/>
                <w:szCs w:val="24"/>
              </w:rPr>
            </w:pPr>
            <w:r w:rsidRPr="008875CC">
              <w:rPr>
                <w:b/>
                <w:bCs/>
                <w:sz w:val="24"/>
                <w:szCs w:val="24"/>
              </w:rPr>
              <w:t>DED (No)</w:t>
            </w:r>
          </w:p>
        </w:tc>
        <w:tc>
          <w:tcPr>
            <w:tcW w:w="0" w:type="auto"/>
            <w:hideMark/>
          </w:tcPr>
          <w:p w14:paraId="74A1795D" w14:textId="77777777" w:rsidR="008875CC" w:rsidRPr="008875CC" w:rsidRDefault="008875CC" w:rsidP="008875CC">
            <w:pPr>
              <w:pStyle w:val="Normal1"/>
              <w:spacing w:before="200" w:line="360" w:lineRule="auto"/>
              <w:rPr>
                <w:b/>
                <w:bCs/>
                <w:sz w:val="24"/>
                <w:szCs w:val="24"/>
              </w:rPr>
            </w:pPr>
            <w:r w:rsidRPr="008875CC">
              <w:rPr>
                <w:b/>
                <w:bCs/>
                <w:sz w:val="24"/>
                <w:szCs w:val="24"/>
              </w:rPr>
              <w:t>p-value</w:t>
            </w:r>
          </w:p>
        </w:tc>
      </w:tr>
      <w:tr w:rsidR="008875CC" w:rsidRPr="008875CC" w14:paraId="48C6916B" w14:textId="77777777" w:rsidTr="00DB0CE4">
        <w:trPr>
          <w:jc w:val="center"/>
        </w:trPr>
        <w:tc>
          <w:tcPr>
            <w:tcW w:w="0" w:type="auto"/>
            <w:hideMark/>
          </w:tcPr>
          <w:p w14:paraId="03F16B51" w14:textId="77777777" w:rsidR="008875CC" w:rsidRPr="008875CC" w:rsidRDefault="008875CC" w:rsidP="008875CC">
            <w:pPr>
              <w:pStyle w:val="Normal1"/>
              <w:spacing w:before="200" w:line="360" w:lineRule="auto"/>
              <w:rPr>
                <w:sz w:val="24"/>
                <w:szCs w:val="24"/>
              </w:rPr>
            </w:pPr>
            <w:r w:rsidRPr="008875CC">
              <w:rPr>
                <w:sz w:val="24"/>
                <w:szCs w:val="24"/>
              </w:rPr>
              <w:t>Age (years)</w:t>
            </w:r>
          </w:p>
        </w:tc>
        <w:tc>
          <w:tcPr>
            <w:tcW w:w="0" w:type="auto"/>
            <w:vAlign w:val="center"/>
            <w:hideMark/>
          </w:tcPr>
          <w:p w14:paraId="5FAEC6FC" w14:textId="77777777" w:rsidR="008875CC" w:rsidRPr="008875CC" w:rsidRDefault="008875CC" w:rsidP="008875CC">
            <w:pPr>
              <w:pStyle w:val="Normal1"/>
              <w:spacing w:before="200" w:line="360" w:lineRule="auto"/>
              <w:jc w:val="center"/>
              <w:rPr>
                <w:sz w:val="24"/>
                <w:szCs w:val="24"/>
              </w:rPr>
            </w:pPr>
            <w:r w:rsidRPr="008875CC">
              <w:rPr>
                <w:sz w:val="24"/>
                <w:szCs w:val="24"/>
              </w:rPr>
              <w:t>32.4 (8.7)</w:t>
            </w:r>
          </w:p>
        </w:tc>
        <w:tc>
          <w:tcPr>
            <w:tcW w:w="0" w:type="auto"/>
            <w:vAlign w:val="center"/>
            <w:hideMark/>
          </w:tcPr>
          <w:p w14:paraId="4F14931A" w14:textId="77777777" w:rsidR="008875CC" w:rsidRPr="008875CC" w:rsidRDefault="008875CC" w:rsidP="008875CC">
            <w:pPr>
              <w:pStyle w:val="Normal1"/>
              <w:spacing w:before="200" w:line="360" w:lineRule="auto"/>
              <w:jc w:val="center"/>
              <w:rPr>
                <w:sz w:val="24"/>
                <w:szCs w:val="24"/>
              </w:rPr>
            </w:pPr>
            <w:r w:rsidRPr="008875CC">
              <w:rPr>
                <w:sz w:val="24"/>
                <w:szCs w:val="24"/>
              </w:rPr>
              <w:t>34.1 (8.9)</w:t>
            </w:r>
          </w:p>
        </w:tc>
        <w:tc>
          <w:tcPr>
            <w:tcW w:w="0" w:type="auto"/>
            <w:vAlign w:val="center"/>
            <w:hideMark/>
          </w:tcPr>
          <w:p w14:paraId="635C3950" w14:textId="77777777" w:rsidR="008875CC" w:rsidRPr="008875CC" w:rsidRDefault="008875CC" w:rsidP="008875CC">
            <w:pPr>
              <w:pStyle w:val="Normal1"/>
              <w:spacing w:before="200" w:line="360" w:lineRule="auto"/>
              <w:jc w:val="center"/>
              <w:rPr>
                <w:sz w:val="24"/>
                <w:szCs w:val="24"/>
              </w:rPr>
            </w:pPr>
            <w:r w:rsidRPr="008875CC">
              <w:rPr>
                <w:sz w:val="24"/>
                <w:szCs w:val="24"/>
              </w:rPr>
              <w:t>30.6 (8.3)</w:t>
            </w:r>
          </w:p>
        </w:tc>
        <w:tc>
          <w:tcPr>
            <w:tcW w:w="0" w:type="auto"/>
            <w:vAlign w:val="center"/>
            <w:hideMark/>
          </w:tcPr>
          <w:p w14:paraId="640FAF57" w14:textId="77777777" w:rsidR="008875CC" w:rsidRPr="008875CC" w:rsidRDefault="008875CC" w:rsidP="008875CC">
            <w:pPr>
              <w:pStyle w:val="Normal1"/>
              <w:spacing w:before="200" w:line="360" w:lineRule="auto"/>
              <w:jc w:val="center"/>
              <w:rPr>
                <w:sz w:val="24"/>
                <w:szCs w:val="24"/>
              </w:rPr>
            </w:pPr>
            <w:r w:rsidRPr="008875CC">
              <w:rPr>
                <w:sz w:val="24"/>
                <w:szCs w:val="24"/>
              </w:rPr>
              <w:t>0.02</w:t>
            </w:r>
          </w:p>
        </w:tc>
      </w:tr>
      <w:tr w:rsidR="008875CC" w:rsidRPr="008875CC" w14:paraId="7DD97121" w14:textId="77777777" w:rsidTr="00DB0CE4">
        <w:trPr>
          <w:jc w:val="center"/>
        </w:trPr>
        <w:tc>
          <w:tcPr>
            <w:tcW w:w="0" w:type="auto"/>
            <w:hideMark/>
          </w:tcPr>
          <w:p w14:paraId="04C59688" w14:textId="77777777" w:rsidR="008875CC" w:rsidRPr="008875CC" w:rsidRDefault="008875CC" w:rsidP="008875CC">
            <w:pPr>
              <w:pStyle w:val="Normal1"/>
              <w:spacing w:before="200" w:line="360" w:lineRule="auto"/>
              <w:rPr>
                <w:sz w:val="24"/>
                <w:szCs w:val="24"/>
              </w:rPr>
            </w:pPr>
            <w:r w:rsidRPr="008875CC">
              <w:rPr>
                <w:sz w:val="24"/>
                <w:szCs w:val="24"/>
              </w:rPr>
              <w:t>Gender (Female %)</w:t>
            </w:r>
          </w:p>
        </w:tc>
        <w:tc>
          <w:tcPr>
            <w:tcW w:w="0" w:type="auto"/>
            <w:vAlign w:val="center"/>
            <w:hideMark/>
          </w:tcPr>
          <w:p w14:paraId="2B2C9F06" w14:textId="77777777" w:rsidR="008875CC" w:rsidRPr="008875CC" w:rsidRDefault="008875CC" w:rsidP="008875CC">
            <w:pPr>
              <w:pStyle w:val="Normal1"/>
              <w:spacing w:before="200" w:line="360" w:lineRule="auto"/>
              <w:jc w:val="center"/>
              <w:rPr>
                <w:sz w:val="24"/>
                <w:szCs w:val="24"/>
              </w:rPr>
            </w:pPr>
            <w:r w:rsidRPr="008875CC">
              <w:rPr>
                <w:sz w:val="24"/>
                <w:szCs w:val="24"/>
              </w:rPr>
              <w:t>54%</w:t>
            </w:r>
          </w:p>
        </w:tc>
        <w:tc>
          <w:tcPr>
            <w:tcW w:w="0" w:type="auto"/>
            <w:vAlign w:val="center"/>
            <w:hideMark/>
          </w:tcPr>
          <w:p w14:paraId="69DD64D2" w14:textId="77777777" w:rsidR="008875CC" w:rsidRPr="008875CC" w:rsidRDefault="008875CC" w:rsidP="008875CC">
            <w:pPr>
              <w:pStyle w:val="Normal1"/>
              <w:spacing w:before="200" w:line="360" w:lineRule="auto"/>
              <w:jc w:val="center"/>
              <w:rPr>
                <w:sz w:val="24"/>
                <w:szCs w:val="24"/>
              </w:rPr>
            </w:pPr>
            <w:r w:rsidRPr="008875CC">
              <w:rPr>
                <w:sz w:val="24"/>
                <w:szCs w:val="24"/>
              </w:rPr>
              <w:t>60%</w:t>
            </w:r>
          </w:p>
        </w:tc>
        <w:tc>
          <w:tcPr>
            <w:tcW w:w="0" w:type="auto"/>
            <w:vAlign w:val="center"/>
            <w:hideMark/>
          </w:tcPr>
          <w:p w14:paraId="6D71BC9B" w14:textId="77777777" w:rsidR="008875CC" w:rsidRPr="008875CC" w:rsidRDefault="008875CC" w:rsidP="008875CC">
            <w:pPr>
              <w:pStyle w:val="Normal1"/>
              <w:spacing w:before="200" w:line="360" w:lineRule="auto"/>
              <w:jc w:val="center"/>
              <w:rPr>
                <w:sz w:val="24"/>
                <w:szCs w:val="24"/>
              </w:rPr>
            </w:pPr>
            <w:r w:rsidRPr="008875CC">
              <w:rPr>
                <w:sz w:val="24"/>
                <w:szCs w:val="24"/>
              </w:rPr>
              <w:t>48%</w:t>
            </w:r>
          </w:p>
        </w:tc>
        <w:tc>
          <w:tcPr>
            <w:tcW w:w="0" w:type="auto"/>
            <w:vAlign w:val="center"/>
            <w:hideMark/>
          </w:tcPr>
          <w:p w14:paraId="3F5D6ADD" w14:textId="77777777" w:rsidR="008875CC" w:rsidRPr="008875CC" w:rsidRDefault="008875CC" w:rsidP="008875CC">
            <w:pPr>
              <w:pStyle w:val="Normal1"/>
              <w:spacing w:before="200" w:line="360" w:lineRule="auto"/>
              <w:jc w:val="center"/>
              <w:rPr>
                <w:sz w:val="24"/>
                <w:szCs w:val="24"/>
              </w:rPr>
            </w:pPr>
            <w:r w:rsidRPr="008875CC">
              <w:rPr>
                <w:sz w:val="24"/>
                <w:szCs w:val="24"/>
              </w:rPr>
              <w:t>0.04</w:t>
            </w:r>
          </w:p>
        </w:tc>
      </w:tr>
      <w:tr w:rsidR="008875CC" w:rsidRPr="008875CC" w14:paraId="77719192" w14:textId="77777777" w:rsidTr="00DB0CE4">
        <w:trPr>
          <w:jc w:val="center"/>
        </w:trPr>
        <w:tc>
          <w:tcPr>
            <w:tcW w:w="0" w:type="auto"/>
            <w:hideMark/>
          </w:tcPr>
          <w:p w14:paraId="19D5FED2" w14:textId="77777777" w:rsidR="008875CC" w:rsidRPr="008875CC" w:rsidRDefault="008875CC" w:rsidP="008875CC">
            <w:pPr>
              <w:pStyle w:val="Normal1"/>
              <w:spacing w:before="200" w:line="360" w:lineRule="auto"/>
              <w:rPr>
                <w:sz w:val="24"/>
                <w:szCs w:val="24"/>
              </w:rPr>
            </w:pPr>
            <w:r w:rsidRPr="008875CC">
              <w:rPr>
                <w:sz w:val="24"/>
                <w:szCs w:val="24"/>
              </w:rPr>
              <w:t>Screen Time (hours)</w:t>
            </w:r>
          </w:p>
        </w:tc>
        <w:tc>
          <w:tcPr>
            <w:tcW w:w="0" w:type="auto"/>
            <w:vAlign w:val="center"/>
            <w:hideMark/>
          </w:tcPr>
          <w:p w14:paraId="419D6D45" w14:textId="77777777" w:rsidR="008875CC" w:rsidRPr="008875CC" w:rsidRDefault="008875CC" w:rsidP="008875CC">
            <w:pPr>
              <w:pStyle w:val="Normal1"/>
              <w:spacing w:before="200" w:line="360" w:lineRule="auto"/>
              <w:jc w:val="center"/>
              <w:rPr>
                <w:sz w:val="24"/>
                <w:szCs w:val="24"/>
              </w:rPr>
            </w:pPr>
            <w:r w:rsidRPr="008875CC">
              <w:rPr>
                <w:sz w:val="24"/>
                <w:szCs w:val="24"/>
              </w:rPr>
              <w:t>5.8 (2.6)</w:t>
            </w:r>
          </w:p>
        </w:tc>
        <w:tc>
          <w:tcPr>
            <w:tcW w:w="0" w:type="auto"/>
            <w:vAlign w:val="center"/>
            <w:hideMark/>
          </w:tcPr>
          <w:p w14:paraId="4F75C5A2" w14:textId="77777777" w:rsidR="008875CC" w:rsidRPr="008875CC" w:rsidRDefault="008875CC" w:rsidP="008875CC">
            <w:pPr>
              <w:pStyle w:val="Normal1"/>
              <w:spacing w:before="200" w:line="360" w:lineRule="auto"/>
              <w:jc w:val="center"/>
              <w:rPr>
                <w:sz w:val="24"/>
                <w:szCs w:val="24"/>
              </w:rPr>
            </w:pPr>
            <w:r w:rsidRPr="008875CC">
              <w:rPr>
                <w:sz w:val="24"/>
                <w:szCs w:val="24"/>
              </w:rPr>
              <w:t>6.5 (2.7)</w:t>
            </w:r>
          </w:p>
        </w:tc>
        <w:tc>
          <w:tcPr>
            <w:tcW w:w="0" w:type="auto"/>
            <w:vAlign w:val="center"/>
            <w:hideMark/>
          </w:tcPr>
          <w:p w14:paraId="742BC252" w14:textId="77777777" w:rsidR="008875CC" w:rsidRPr="008875CC" w:rsidRDefault="008875CC" w:rsidP="008875CC">
            <w:pPr>
              <w:pStyle w:val="Normal1"/>
              <w:spacing w:before="200" w:line="360" w:lineRule="auto"/>
              <w:jc w:val="center"/>
              <w:rPr>
                <w:sz w:val="24"/>
                <w:szCs w:val="24"/>
              </w:rPr>
            </w:pPr>
            <w:r w:rsidRPr="008875CC">
              <w:rPr>
                <w:sz w:val="24"/>
                <w:szCs w:val="24"/>
              </w:rPr>
              <w:t>5.1 (2.3)</w:t>
            </w:r>
          </w:p>
        </w:tc>
        <w:tc>
          <w:tcPr>
            <w:tcW w:w="0" w:type="auto"/>
            <w:vAlign w:val="center"/>
            <w:hideMark/>
          </w:tcPr>
          <w:p w14:paraId="4DCAC843" w14:textId="77777777" w:rsidR="008875CC" w:rsidRPr="008875CC" w:rsidRDefault="008875CC" w:rsidP="008875CC">
            <w:pPr>
              <w:pStyle w:val="Normal1"/>
              <w:spacing w:before="200" w:line="360" w:lineRule="auto"/>
              <w:jc w:val="center"/>
              <w:rPr>
                <w:sz w:val="24"/>
                <w:szCs w:val="24"/>
              </w:rPr>
            </w:pPr>
            <w:r w:rsidRPr="008875CC">
              <w:rPr>
                <w:sz w:val="24"/>
                <w:szCs w:val="24"/>
              </w:rPr>
              <w:t>&lt;0.01</w:t>
            </w:r>
          </w:p>
        </w:tc>
      </w:tr>
      <w:tr w:rsidR="008875CC" w:rsidRPr="008875CC" w14:paraId="1B59B4C4" w14:textId="77777777" w:rsidTr="00DB0CE4">
        <w:trPr>
          <w:jc w:val="center"/>
        </w:trPr>
        <w:tc>
          <w:tcPr>
            <w:tcW w:w="0" w:type="auto"/>
            <w:hideMark/>
          </w:tcPr>
          <w:p w14:paraId="5AEA8912" w14:textId="77777777" w:rsidR="008875CC" w:rsidRPr="008875CC" w:rsidRDefault="008875CC" w:rsidP="008875CC">
            <w:pPr>
              <w:pStyle w:val="Normal1"/>
              <w:spacing w:before="200" w:line="360" w:lineRule="auto"/>
              <w:rPr>
                <w:sz w:val="24"/>
                <w:szCs w:val="24"/>
              </w:rPr>
            </w:pPr>
            <w:r w:rsidRPr="008875CC">
              <w:rPr>
                <w:sz w:val="24"/>
                <w:szCs w:val="24"/>
              </w:rPr>
              <w:t>Smoking (Yes %)</w:t>
            </w:r>
          </w:p>
        </w:tc>
        <w:tc>
          <w:tcPr>
            <w:tcW w:w="0" w:type="auto"/>
            <w:vAlign w:val="center"/>
            <w:hideMark/>
          </w:tcPr>
          <w:p w14:paraId="72995B44" w14:textId="77777777" w:rsidR="008875CC" w:rsidRPr="008875CC" w:rsidRDefault="008875CC" w:rsidP="008875CC">
            <w:pPr>
              <w:pStyle w:val="Normal1"/>
              <w:spacing w:before="200" w:line="360" w:lineRule="auto"/>
              <w:jc w:val="center"/>
              <w:rPr>
                <w:sz w:val="24"/>
                <w:szCs w:val="24"/>
              </w:rPr>
            </w:pPr>
            <w:r w:rsidRPr="008875CC">
              <w:rPr>
                <w:sz w:val="24"/>
                <w:szCs w:val="24"/>
              </w:rPr>
              <w:t>48%</w:t>
            </w:r>
          </w:p>
        </w:tc>
        <w:tc>
          <w:tcPr>
            <w:tcW w:w="0" w:type="auto"/>
            <w:vAlign w:val="center"/>
            <w:hideMark/>
          </w:tcPr>
          <w:p w14:paraId="004F36D8" w14:textId="77777777" w:rsidR="008875CC" w:rsidRPr="008875CC" w:rsidRDefault="008875CC" w:rsidP="008875CC">
            <w:pPr>
              <w:pStyle w:val="Normal1"/>
              <w:spacing w:before="200" w:line="360" w:lineRule="auto"/>
              <w:jc w:val="center"/>
              <w:rPr>
                <w:sz w:val="24"/>
                <w:szCs w:val="24"/>
              </w:rPr>
            </w:pPr>
            <w:r w:rsidRPr="008875CC">
              <w:rPr>
                <w:sz w:val="24"/>
                <w:szCs w:val="24"/>
              </w:rPr>
              <w:t>58%</w:t>
            </w:r>
          </w:p>
        </w:tc>
        <w:tc>
          <w:tcPr>
            <w:tcW w:w="0" w:type="auto"/>
            <w:vAlign w:val="center"/>
            <w:hideMark/>
          </w:tcPr>
          <w:p w14:paraId="79F7A8C0" w14:textId="77777777" w:rsidR="008875CC" w:rsidRPr="008875CC" w:rsidRDefault="008875CC" w:rsidP="008875CC">
            <w:pPr>
              <w:pStyle w:val="Normal1"/>
              <w:spacing w:before="200" w:line="360" w:lineRule="auto"/>
              <w:jc w:val="center"/>
              <w:rPr>
                <w:sz w:val="24"/>
                <w:szCs w:val="24"/>
              </w:rPr>
            </w:pPr>
            <w:r w:rsidRPr="008875CC">
              <w:rPr>
                <w:sz w:val="24"/>
                <w:szCs w:val="24"/>
              </w:rPr>
              <w:t>37%</w:t>
            </w:r>
          </w:p>
        </w:tc>
        <w:tc>
          <w:tcPr>
            <w:tcW w:w="0" w:type="auto"/>
            <w:vAlign w:val="center"/>
            <w:hideMark/>
          </w:tcPr>
          <w:p w14:paraId="2D11B501" w14:textId="77777777" w:rsidR="008875CC" w:rsidRPr="008875CC" w:rsidRDefault="008875CC" w:rsidP="008875CC">
            <w:pPr>
              <w:pStyle w:val="Normal1"/>
              <w:spacing w:before="200" w:line="360" w:lineRule="auto"/>
              <w:jc w:val="center"/>
              <w:rPr>
                <w:sz w:val="24"/>
                <w:szCs w:val="24"/>
              </w:rPr>
            </w:pPr>
            <w:r w:rsidRPr="008875CC">
              <w:rPr>
                <w:sz w:val="24"/>
                <w:szCs w:val="24"/>
              </w:rPr>
              <w:t>&lt;0.01</w:t>
            </w:r>
          </w:p>
        </w:tc>
      </w:tr>
      <w:tr w:rsidR="008875CC" w:rsidRPr="008875CC" w14:paraId="45208CAF" w14:textId="77777777" w:rsidTr="00DB0CE4">
        <w:trPr>
          <w:jc w:val="center"/>
        </w:trPr>
        <w:tc>
          <w:tcPr>
            <w:tcW w:w="0" w:type="auto"/>
            <w:hideMark/>
          </w:tcPr>
          <w:p w14:paraId="5B788F07" w14:textId="77777777" w:rsidR="008875CC" w:rsidRPr="008875CC" w:rsidRDefault="008875CC" w:rsidP="008875CC">
            <w:pPr>
              <w:pStyle w:val="Normal1"/>
              <w:spacing w:before="200" w:line="360" w:lineRule="auto"/>
              <w:rPr>
                <w:sz w:val="24"/>
                <w:szCs w:val="24"/>
              </w:rPr>
            </w:pPr>
            <w:r w:rsidRPr="008875CC">
              <w:rPr>
                <w:sz w:val="24"/>
                <w:szCs w:val="24"/>
              </w:rPr>
              <w:t>Sleep Quality (1–5)</w:t>
            </w:r>
          </w:p>
        </w:tc>
        <w:tc>
          <w:tcPr>
            <w:tcW w:w="0" w:type="auto"/>
            <w:vAlign w:val="center"/>
            <w:hideMark/>
          </w:tcPr>
          <w:p w14:paraId="3B13F8DA" w14:textId="77777777" w:rsidR="008875CC" w:rsidRPr="008875CC" w:rsidRDefault="008875CC" w:rsidP="008875CC">
            <w:pPr>
              <w:pStyle w:val="Normal1"/>
              <w:spacing w:before="200" w:line="360" w:lineRule="auto"/>
              <w:jc w:val="center"/>
              <w:rPr>
                <w:sz w:val="24"/>
                <w:szCs w:val="24"/>
              </w:rPr>
            </w:pPr>
            <w:r w:rsidRPr="008875CC">
              <w:rPr>
                <w:sz w:val="24"/>
                <w:szCs w:val="24"/>
              </w:rPr>
              <w:t>3.1 (1.4)</w:t>
            </w:r>
          </w:p>
        </w:tc>
        <w:tc>
          <w:tcPr>
            <w:tcW w:w="0" w:type="auto"/>
            <w:vAlign w:val="center"/>
            <w:hideMark/>
          </w:tcPr>
          <w:p w14:paraId="083E9FF6" w14:textId="77777777" w:rsidR="008875CC" w:rsidRPr="008875CC" w:rsidRDefault="008875CC" w:rsidP="008875CC">
            <w:pPr>
              <w:pStyle w:val="Normal1"/>
              <w:spacing w:before="200" w:line="360" w:lineRule="auto"/>
              <w:jc w:val="center"/>
              <w:rPr>
                <w:sz w:val="24"/>
                <w:szCs w:val="24"/>
              </w:rPr>
            </w:pPr>
            <w:r w:rsidRPr="008875CC">
              <w:rPr>
                <w:sz w:val="24"/>
                <w:szCs w:val="24"/>
              </w:rPr>
              <w:t>2.8 (1.3)</w:t>
            </w:r>
          </w:p>
        </w:tc>
        <w:tc>
          <w:tcPr>
            <w:tcW w:w="0" w:type="auto"/>
            <w:vAlign w:val="center"/>
            <w:hideMark/>
          </w:tcPr>
          <w:p w14:paraId="658B4EE5" w14:textId="77777777" w:rsidR="008875CC" w:rsidRPr="008875CC" w:rsidRDefault="008875CC" w:rsidP="008875CC">
            <w:pPr>
              <w:pStyle w:val="Normal1"/>
              <w:spacing w:before="200" w:line="360" w:lineRule="auto"/>
              <w:jc w:val="center"/>
              <w:rPr>
                <w:sz w:val="24"/>
                <w:szCs w:val="24"/>
              </w:rPr>
            </w:pPr>
            <w:r w:rsidRPr="008875CC">
              <w:rPr>
                <w:sz w:val="24"/>
                <w:szCs w:val="24"/>
              </w:rPr>
              <w:t>3.4 (1.4)</w:t>
            </w:r>
          </w:p>
        </w:tc>
        <w:tc>
          <w:tcPr>
            <w:tcW w:w="0" w:type="auto"/>
            <w:vAlign w:val="center"/>
            <w:hideMark/>
          </w:tcPr>
          <w:p w14:paraId="2C5E9FAD" w14:textId="77777777" w:rsidR="008875CC" w:rsidRPr="008875CC" w:rsidRDefault="008875CC" w:rsidP="008875CC">
            <w:pPr>
              <w:pStyle w:val="Normal1"/>
              <w:spacing w:before="200" w:line="360" w:lineRule="auto"/>
              <w:jc w:val="center"/>
              <w:rPr>
                <w:sz w:val="24"/>
                <w:szCs w:val="24"/>
              </w:rPr>
            </w:pPr>
            <w:r w:rsidRPr="008875CC">
              <w:rPr>
                <w:sz w:val="24"/>
                <w:szCs w:val="24"/>
              </w:rPr>
              <w:t>&lt;0.01</w:t>
            </w:r>
          </w:p>
        </w:tc>
      </w:tr>
    </w:tbl>
    <w:p w14:paraId="0CC1F171" w14:textId="69592D72" w:rsidR="008875CC" w:rsidRDefault="008875CC" w:rsidP="00DB0CE4">
      <w:pPr>
        <w:pStyle w:val="Normal1"/>
        <w:spacing w:before="200" w:line="360" w:lineRule="auto"/>
        <w:jc w:val="center"/>
        <w:rPr>
          <w:sz w:val="24"/>
          <w:szCs w:val="24"/>
        </w:rPr>
      </w:pPr>
      <w:r w:rsidRPr="008875CC">
        <w:rPr>
          <w:i/>
          <w:iCs/>
          <w:sz w:val="24"/>
          <w:szCs w:val="24"/>
        </w:rPr>
        <w:t>Note</w:t>
      </w:r>
      <w:r w:rsidRPr="008875CC">
        <w:rPr>
          <w:sz w:val="24"/>
          <w:szCs w:val="24"/>
        </w:rPr>
        <w:t>: p-values from t-tests (continuous) or chi-square tests (categorical).</w:t>
      </w:r>
    </w:p>
    <w:p w14:paraId="62D9FEB8" w14:textId="1C4FBF7D" w:rsidR="00D20F47" w:rsidRDefault="00D20F47" w:rsidP="00D20F47">
      <w:pPr>
        <w:pStyle w:val="Normal1"/>
        <w:spacing w:before="200" w:line="360" w:lineRule="auto"/>
        <w:rPr>
          <w:sz w:val="24"/>
          <w:szCs w:val="24"/>
        </w:rPr>
      </w:pPr>
      <w:r w:rsidRPr="008875CC">
        <w:rPr>
          <w:sz w:val="24"/>
          <w:szCs w:val="24"/>
        </w:rPr>
        <w:t xml:space="preserve">A </w:t>
      </w:r>
      <w:r>
        <w:rPr>
          <w:sz w:val="24"/>
          <w:szCs w:val="24"/>
        </w:rPr>
        <w:t>figure 1</w:t>
      </w:r>
      <w:r w:rsidRPr="008875CC">
        <w:rPr>
          <w:sz w:val="24"/>
          <w:szCs w:val="24"/>
        </w:rPr>
        <w:t xml:space="preserve"> illustrates DED prevalence, with 60% of females and 44% of males diagnosed with DED (chi-square, p = 0.04). The plot highlights a higher risk among females.</w:t>
      </w:r>
      <w:r w:rsidR="00DB0CE4">
        <w:rPr>
          <w:sz w:val="24"/>
          <w:szCs w:val="24"/>
        </w:rPr>
        <w:t xml:space="preserve"> </w:t>
      </w:r>
      <w:r w:rsidRPr="008875CC">
        <w:rPr>
          <w:sz w:val="24"/>
          <w:szCs w:val="24"/>
        </w:rPr>
        <w:t xml:space="preserve">A </w:t>
      </w:r>
      <w:r>
        <w:rPr>
          <w:sz w:val="24"/>
          <w:szCs w:val="24"/>
        </w:rPr>
        <w:t>Figure 2</w:t>
      </w:r>
      <w:r w:rsidRPr="008875CC">
        <w:rPr>
          <w:sz w:val="24"/>
          <w:szCs w:val="24"/>
        </w:rPr>
        <w:t xml:space="preserve"> shows screen time distribution for DED (Yes) vs. DED (No) groups. The DED group had a median screen time of 6.8 hours (IQR: 4.7–8.9) compared to 4.9 hours (IQR: 3.1–6.5) for the non-DED group (t-test, p &lt; 0.01).</w:t>
      </w:r>
    </w:p>
    <w:p w14:paraId="0FBBAD04" w14:textId="365907CD" w:rsidR="00D20F47" w:rsidRPr="008875CC" w:rsidRDefault="00DB0CE4" w:rsidP="008875CC">
      <w:pPr>
        <w:pStyle w:val="Normal1"/>
        <w:spacing w:before="200" w:line="360" w:lineRule="auto"/>
        <w:rPr>
          <w:sz w:val="24"/>
          <w:szCs w:val="24"/>
        </w:rPr>
      </w:pPr>
      <w:r>
        <w:rPr>
          <w:noProof/>
        </w:rPr>
        <w:lastRenderedPageBreak/>
        <w:drawing>
          <wp:anchor distT="0" distB="0" distL="114300" distR="114300" simplePos="0" relativeHeight="251661312" behindDoc="0" locked="0" layoutInCell="1" allowOverlap="1" wp14:anchorId="73B2680C" wp14:editId="0D84229A">
            <wp:simplePos x="0" y="0"/>
            <wp:positionH relativeFrom="margin">
              <wp:posOffset>3017520</wp:posOffset>
            </wp:positionH>
            <wp:positionV relativeFrom="paragraph">
              <wp:posOffset>1270</wp:posOffset>
            </wp:positionV>
            <wp:extent cx="2468880" cy="1851660"/>
            <wp:effectExtent l="0" t="0" r="7620" b="0"/>
            <wp:wrapSquare wrapText="bothSides"/>
            <wp:docPr id="2068461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55160F1" wp14:editId="38A9AE3A">
            <wp:simplePos x="0" y="0"/>
            <wp:positionH relativeFrom="margin">
              <wp:posOffset>114300</wp:posOffset>
            </wp:positionH>
            <wp:positionV relativeFrom="paragraph">
              <wp:posOffset>635</wp:posOffset>
            </wp:positionV>
            <wp:extent cx="2385060" cy="1788795"/>
            <wp:effectExtent l="0" t="0" r="0" b="1905"/>
            <wp:wrapSquare wrapText="bothSides"/>
            <wp:docPr id="63665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D2A7B" w14:textId="1D05F891" w:rsidR="00D25EFF" w:rsidRDefault="00D25EFF" w:rsidP="008875CC">
      <w:pPr>
        <w:pStyle w:val="Normal1"/>
        <w:spacing w:before="200" w:line="360" w:lineRule="auto"/>
        <w:rPr>
          <w:b/>
          <w:bCs/>
          <w:sz w:val="24"/>
          <w:szCs w:val="24"/>
        </w:rPr>
      </w:pPr>
    </w:p>
    <w:p w14:paraId="06C24843" w14:textId="68AE0F5C" w:rsidR="00D25EFF" w:rsidRDefault="00D25EFF" w:rsidP="008875CC">
      <w:pPr>
        <w:pStyle w:val="Normal1"/>
        <w:spacing w:before="200" w:line="360" w:lineRule="auto"/>
        <w:rPr>
          <w:b/>
          <w:bCs/>
          <w:sz w:val="24"/>
          <w:szCs w:val="24"/>
        </w:rPr>
      </w:pPr>
    </w:p>
    <w:p w14:paraId="43BA3347" w14:textId="3E86A688" w:rsidR="00D25EFF" w:rsidRDefault="00D25EFF" w:rsidP="008875CC">
      <w:pPr>
        <w:pStyle w:val="Normal1"/>
        <w:spacing w:before="200" w:line="360" w:lineRule="auto"/>
        <w:rPr>
          <w:b/>
          <w:bCs/>
          <w:sz w:val="24"/>
          <w:szCs w:val="24"/>
        </w:rPr>
      </w:pPr>
    </w:p>
    <w:p w14:paraId="27C8A73B" w14:textId="44B8AF35" w:rsidR="00D25EFF" w:rsidRDefault="00DB0CE4" w:rsidP="008875CC">
      <w:pPr>
        <w:pStyle w:val="Normal1"/>
        <w:spacing w:before="200" w:line="360" w:lineRule="auto"/>
        <w:rPr>
          <w:b/>
          <w:bCs/>
          <w:sz w:val="24"/>
          <w:szCs w:val="24"/>
        </w:rPr>
      </w:pPr>
      <w:r>
        <w:rPr>
          <w:noProof/>
        </w:rPr>
        <mc:AlternateContent>
          <mc:Choice Requires="wps">
            <w:drawing>
              <wp:anchor distT="0" distB="0" distL="114300" distR="114300" simplePos="0" relativeHeight="251664384" behindDoc="0" locked="0" layoutInCell="1" allowOverlap="1" wp14:anchorId="75215ADE" wp14:editId="64766D19">
                <wp:simplePos x="0" y="0"/>
                <wp:positionH relativeFrom="margin">
                  <wp:posOffset>190500</wp:posOffset>
                </wp:positionH>
                <wp:positionV relativeFrom="paragraph">
                  <wp:posOffset>363855</wp:posOffset>
                </wp:positionV>
                <wp:extent cx="2270760" cy="635"/>
                <wp:effectExtent l="0" t="0" r="0" b="8255"/>
                <wp:wrapSquare wrapText="bothSides"/>
                <wp:docPr id="1685823547" name="Text Box 1"/>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2EAEA985" w14:textId="176F7D8A" w:rsidR="00D20F47" w:rsidRPr="00D20F47" w:rsidRDefault="00D20F47" w:rsidP="00D20F47">
                            <w:pPr>
                              <w:pStyle w:val="Caption"/>
                              <w:jc w:val="center"/>
                              <w:rPr>
                                <w:i w:val="0"/>
                                <w:iCs w:val="0"/>
                                <w:noProof/>
                                <w:color w:val="000000" w:themeColor="text1"/>
                                <w:sz w:val="20"/>
                                <w:szCs w:val="20"/>
                              </w:rPr>
                            </w:pPr>
                            <w:r w:rsidRPr="00D20F47">
                              <w:rPr>
                                <w:i w:val="0"/>
                                <w:iCs w:val="0"/>
                                <w:color w:val="000000" w:themeColor="text1"/>
                              </w:rPr>
                              <w:t xml:space="preserve">Figure </w:t>
                            </w:r>
                            <w:r w:rsidRPr="00D20F47">
                              <w:rPr>
                                <w:i w:val="0"/>
                                <w:iCs w:val="0"/>
                                <w:color w:val="000000" w:themeColor="text1"/>
                              </w:rPr>
                              <w:fldChar w:fldCharType="begin"/>
                            </w:r>
                            <w:r w:rsidRPr="00D20F47">
                              <w:rPr>
                                <w:i w:val="0"/>
                                <w:iCs w:val="0"/>
                                <w:color w:val="000000" w:themeColor="text1"/>
                              </w:rPr>
                              <w:instrText xml:space="preserve"> SEQ Figure \* ARABIC </w:instrText>
                            </w:r>
                            <w:r w:rsidRPr="00D20F47">
                              <w:rPr>
                                <w:i w:val="0"/>
                                <w:iCs w:val="0"/>
                                <w:color w:val="000000" w:themeColor="text1"/>
                              </w:rPr>
                              <w:fldChar w:fldCharType="separate"/>
                            </w:r>
                            <w:r>
                              <w:rPr>
                                <w:i w:val="0"/>
                                <w:iCs w:val="0"/>
                                <w:noProof/>
                                <w:color w:val="000000" w:themeColor="text1"/>
                              </w:rPr>
                              <w:t>2</w:t>
                            </w:r>
                            <w:r w:rsidRPr="00D20F47">
                              <w:rPr>
                                <w:i w:val="0"/>
                                <w:iCs w:val="0"/>
                                <w:color w:val="000000" w:themeColor="text1"/>
                              </w:rPr>
                              <w:fldChar w:fldCharType="end"/>
                            </w:r>
                            <w:r w:rsidRPr="00D20F47">
                              <w:rPr>
                                <w:i w:val="0"/>
                                <w:iCs w:val="0"/>
                                <w:color w:val="000000" w:themeColor="text1"/>
                              </w:rPr>
                              <w:t>: DED Prevalence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215ADE" id="_x0000_t202" coordsize="21600,21600" o:spt="202" path="m,l,21600r21600,l21600,xe">
                <v:stroke joinstyle="miter"/>
                <v:path gradientshapeok="t" o:connecttype="rect"/>
              </v:shapetype>
              <v:shape id="Text Box 1" o:spid="_x0000_s1026" type="#_x0000_t202" style="position:absolute;left:0;text-align:left;margin-left:15pt;margin-top:28.65pt;width:178.8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dQFQIAADgEAAAOAAAAZHJzL2Uyb0RvYy54bWysU8Fu2zAMvQ/YPwi6L04yLB2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M+v5neLCg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" stroked="f">
                <v:textbox style="mso-fit-shape-to-text:t" inset="0,0,0,0">
                  <w:txbxContent>
                    <w:p w14:paraId="2EAEA985" w14:textId="176F7D8A" w:rsidR="00D20F47" w:rsidRPr="00D20F47" w:rsidRDefault="00D20F47" w:rsidP="00D20F47">
                      <w:pPr>
                        <w:pStyle w:val="Caption"/>
                        <w:jc w:val="center"/>
                        <w:rPr>
                          <w:i w:val="0"/>
                          <w:iCs w:val="0"/>
                          <w:noProof/>
                          <w:color w:val="000000" w:themeColor="text1"/>
                          <w:sz w:val="20"/>
                          <w:szCs w:val="20"/>
                        </w:rPr>
                      </w:pPr>
                      <w:r w:rsidRPr="00D20F47">
                        <w:rPr>
                          <w:i w:val="0"/>
                          <w:iCs w:val="0"/>
                          <w:color w:val="000000" w:themeColor="text1"/>
                        </w:rPr>
                        <w:t xml:space="preserve">Figure </w:t>
                      </w:r>
                      <w:r w:rsidRPr="00D20F47">
                        <w:rPr>
                          <w:i w:val="0"/>
                          <w:iCs w:val="0"/>
                          <w:color w:val="000000" w:themeColor="text1"/>
                        </w:rPr>
                        <w:fldChar w:fldCharType="begin"/>
                      </w:r>
                      <w:r w:rsidRPr="00D20F47">
                        <w:rPr>
                          <w:i w:val="0"/>
                          <w:iCs w:val="0"/>
                          <w:color w:val="000000" w:themeColor="text1"/>
                        </w:rPr>
                        <w:instrText xml:space="preserve"> SEQ Figure \* ARABIC </w:instrText>
                      </w:r>
                      <w:r w:rsidRPr="00D20F47">
                        <w:rPr>
                          <w:i w:val="0"/>
                          <w:iCs w:val="0"/>
                          <w:color w:val="000000" w:themeColor="text1"/>
                        </w:rPr>
                        <w:fldChar w:fldCharType="separate"/>
                      </w:r>
                      <w:r>
                        <w:rPr>
                          <w:i w:val="0"/>
                          <w:iCs w:val="0"/>
                          <w:noProof/>
                          <w:color w:val="000000" w:themeColor="text1"/>
                        </w:rPr>
                        <w:t>2</w:t>
                      </w:r>
                      <w:r w:rsidRPr="00D20F47">
                        <w:rPr>
                          <w:i w:val="0"/>
                          <w:iCs w:val="0"/>
                          <w:color w:val="000000" w:themeColor="text1"/>
                        </w:rPr>
                        <w:fldChar w:fldCharType="end"/>
                      </w:r>
                      <w:r w:rsidRPr="00D20F47">
                        <w:rPr>
                          <w:i w:val="0"/>
                          <w:iCs w:val="0"/>
                          <w:color w:val="000000" w:themeColor="text1"/>
                        </w:rPr>
                        <w:t>: DED Prevalence by gender</w:t>
                      </w:r>
                    </w:p>
                  </w:txbxContent>
                </v:textbox>
                <w10:wrap type="square" anchorx="margin"/>
              </v:shape>
            </w:pict>
          </mc:Fallback>
        </mc:AlternateContent>
      </w:r>
    </w:p>
    <w:p w14:paraId="31A6D871" w14:textId="77777777" w:rsidR="00DB0CE4" w:rsidRDefault="00DB0CE4" w:rsidP="008875CC">
      <w:pPr>
        <w:pStyle w:val="Normal1"/>
        <w:spacing w:before="200" w:line="360" w:lineRule="auto"/>
        <w:rPr>
          <w:b/>
          <w:bCs/>
          <w:sz w:val="24"/>
          <w:szCs w:val="24"/>
        </w:rPr>
      </w:pPr>
      <w:r>
        <w:rPr>
          <w:noProof/>
        </w:rPr>
        <mc:AlternateContent>
          <mc:Choice Requires="wps">
            <w:drawing>
              <wp:anchor distT="0" distB="0" distL="114300" distR="114300" simplePos="0" relativeHeight="251666432" behindDoc="0" locked="0" layoutInCell="1" allowOverlap="1" wp14:anchorId="3C08F265" wp14:editId="4E6DE3CB">
                <wp:simplePos x="0" y="0"/>
                <wp:positionH relativeFrom="margin">
                  <wp:align>right</wp:align>
                </wp:positionH>
                <wp:positionV relativeFrom="paragraph">
                  <wp:posOffset>16510</wp:posOffset>
                </wp:positionV>
                <wp:extent cx="2354580" cy="635"/>
                <wp:effectExtent l="0" t="0" r="7620" b="8255"/>
                <wp:wrapSquare wrapText="bothSides"/>
                <wp:docPr id="1687863233"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89AC517" w14:textId="53CB2E9E" w:rsidR="00D20F47" w:rsidRPr="00D20F47" w:rsidRDefault="00D20F47" w:rsidP="00D20F47">
                            <w:pPr>
                              <w:pStyle w:val="Caption"/>
                              <w:jc w:val="center"/>
                              <w:rPr>
                                <w:i w:val="0"/>
                                <w:iCs w:val="0"/>
                                <w:noProof/>
                                <w:color w:val="000000" w:themeColor="text1"/>
                                <w:sz w:val="20"/>
                                <w:szCs w:val="20"/>
                              </w:rPr>
                            </w:pPr>
                            <w:r w:rsidRPr="00D20F47">
                              <w:rPr>
                                <w:i w:val="0"/>
                                <w:iCs w:val="0"/>
                                <w:color w:val="000000" w:themeColor="text1"/>
                              </w:rPr>
                              <w:t xml:space="preserve">Figure </w:t>
                            </w:r>
                            <w:r w:rsidRPr="00D20F47">
                              <w:rPr>
                                <w:i w:val="0"/>
                                <w:iCs w:val="0"/>
                                <w:color w:val="000000" w:themeColor="text1"/>
                              </w:rPr>
                              <w:fldChar w:fldCharType="begin"/>
                            </w:r>
                            <w:r w:rsidRPr="00D20F47">
                              <w:rPr>
                                <w:i w:val="0"/>
                                <w:iCs w:val="0"/>
                                <w:color w:val="000000" w:themeColor="text1"/>
                              </w:rPr>
                              <w:instrText xml:space="preserve"> SEQ Figure \* ARABIC </w:instrText>
                            </w:r>
                            <w:r w:rsidRPr="00D20F47">
                              <w:rPr>
                                <w:i w:val="0"/>
                                <w:iCs w:val="0"/>
                                <w:color w:val="000000" w:themeColor="text1"/>
                              </w:rPr>
                              <w:fldChar w:fldCharType="separate"/>
                            </w:r>
                            <w:r>
                              <w:rPr>
                                <w:i w:val="0"/>
                                <w:iCs w:val="0"/>
                                <w:noProof/>
                                <w:color w:val="000000" w:themeColor="text1"/>
                              </w:rPr>
                              <w:t>1</w:t>
                            </w:r>
                            <w:r w:rsidRPr="00D20F47">
                              <w:rPr>
                                <w:i w:val="0"/>
                                <w:iCs w:val="0"/>
                                <w:color w:val="000000" w:themeColor="text1"/>
                              </w:rPr>
                              <w:fldChar w:fldCharType="end"/>
                            </w:r>
                            <w:r w:rsidRPr="00D20F47">
                              <w:rPr>
                                <w:i w:val="0"/>
                                <w:iCs w:val="0"/>
                                <w:color w:val="000000" w:themeColor="text1"/>
                              </w:rPr>
                              <w:t>: Screen time by DED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8F265" id="_x0000_s1027" type="#_x0000_t202" style="position:absolute;left:0;text-align:left;margin-left:134.2pt;margin-top:1.3pt;width:185.4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0pGA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zezz7I5CkmK3N7N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" stroked="f">
                <v:textbox style="mso-fit-shape-to-text:t" inset="0,0,0,0">
                  <w:txbxContent>
                    <w:p w14:paraId="189AC517" w14:textId="53CB2E9E" w:rsidR="00D20F47" w:rsidRPr="00D20F47" w:rsidRDefault="00D20F47" w:rsidP="00D20F47">
                      <w:pPr>
                        <w:pStyle w:val="Caption"/>
                        <w:jc w:val="center"/>
                        <w:rPr>
                          <w:i w:val="0"/>
                          <w:iCs w:val="0"/>
                          <w:noProof/>
                          <w:color w:val="000000" w:themeColor="text1"/>
                          <w:sz w:val="20"/>
                          <w:szCs w:val="20"/>
                        </w:rPr>
                      </w:pPr>
                      <w:r w:rsidRPr="00D20F47">
                        <w:rPr>
                          <w:i w:val="0"/>
                          <w:iCs w:val="0"/>
                          <w:color w:val="000000" w:themeColor="text1"/>
                        </w:rPr>
                        <w:t xml:space="preserve">Figure </w:t>
                      </w:r>
                      <w:r w:rsidRPr="00D20F47">
                        <w:rPr>
                          <w:i w:val="0"/>
                          <w:iCs w:val="0"/>
                          <w:color w:val="000000" w:themeColor="text1"/>
                        </w:rPr>
                        <w:fldChar w:fldCharType="begin"/>
                      </w:r>
                      <w:r w:rsidRPr="00D20F47">
                        <w:rPr>
                          <w:i w:val="0"/>
                          <w:iCs w:val="0"/>
                          <w:color w:val="000000" w:themeColor="text1"/>
                        </w:rPr>
                        <w:instrText xml:space="preserve"> SEQ Figure \* ARABIC </w:instrText>
                      </w:r>
                      <w:r w:rsidRPr="00D20F47">
                        <w:rPr>
                          <w:i w:val="0"/>
                          <w:iCs w:val="0"/>
                          <w:color w:val="000000" w:themeColor="text1"/>
                        </w:rPr>
                        <w:fldChar w:fldCharType="separate"/>
                      </w:r>
                      <w:r>
                        <w:rPr>
                          <w:i w:val="0"/>
                          <w:iCs w:val="0"/>
                          <w:noProof/>
                          <w:color w:val="000000" w:themeColor="text1"/>
                        </w:rPr>
                        <w:t>1</w:t>
                      </w:r>
                      <w:r w:rsidRPr="00D20F47">
                        <w:rPr>
                          <w:i w:val="0"/>
                          <w:iCs w:val="0"/>
                          <w:color w:val="000000" w:themeColor="text1"/>
                        </w:rPr>
                        <w:fldChar w:fldCharType="end"/>
                      </w:r>
                      <w:r w:rsidRPr="00D20F47">
                        <w:rPr>
                          <w:i w:val="0"/>
                          <w:iCs w:val="0"/>
                          <w:color w:val="000000" w:themeColor="text1"/>
                        </w:rPr>
                        <w:t>: Screen time by DED Status</w:t>
                      </w:r>
                    </w:p>
                  </w:txbxContent>
                </v:textbox>
                <w10:wrap type="square" anchorx="margin"/>
              </v:shape>
            </w:pict>
          </mc:Fallback>
        </mc:AlternateContent>
      </w:r>
    </w:p>
    <w:p w14:paraId="3E6C2E25" w14:textId="6EE8D54D" w:rsidR="008875CC" w:rsidRPr="00DB0CE4" w:rsidRDefault="00DB0CE4" w:rsidP="008875CC">
      <w:pPr>
        <w:pStyle w:val="Normal1"/>
        <w:spacing w:before="200" w:line="360" w:lineRule="auto"/>
        <w:rPr>
          <w:b/>
          <w:bCs/>
          <w:sz w:val="24"/>
          <w:szCs w:val="24"/>
        </w:rPr>
      </w:pPr>
      <w:r>
        <w:rPr>
          <w:noProof/>
        </w:rPr>
        <w:drawing>
          <wp:anchor distT="0" distB="0" distL="114300" distR="114300" simplePos="0" relativeHeight="251668480" behindDoc="0" locked="0" layoutInCell="1" allowOverlap="1" wp14:anchorId="6826EBE4" wp14:editId="250AFC53">
            <wp:simplePos x="0" y="0"/>
            <wp:positionH relativeFrom="margin">
              <wp:align>right</wp:align>
            </wp:positionH>
            <wp:positionV relativeFrom="paragraph">
              <wp:posOffset>131445</wp:posOffset>
            </wp:positionV>
            <wp:extent cx="2712720" cy="2169795"/>
            <wp:effectExtent l="0" t="0" r="0" b="1905"/>
            <wp:wrapSquare wrapText="bothSides"/>
            <wp:docPr id="1267187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16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8875CC" w:rsidRPr="008875CC">
        <w:rPr>
          <w:sz w:val="24"/>
          <w:szCs w:val="24"/>
        </w:rPr>
        <w:t xml:space="preserve">A </w:t>
      </w:r>
      <w:r w:rsidR="00D20F47">
        <w:rPr>
          <w:sz w:val="24"/>
          <w:szCs w:val="24"/>
        </w:rPr>
        <w:t>figure 3</w:t>
      </w:r>
      <w:r w:rsidR="008875CC" w:rsidRPr="008875CC">
        <w:rPr>
          <w:sz w:val="24"/>
          <w:szCs w:val="24"/>
        </w:rPr>
        <w:t xml:space="preserve"> correlations among continuous variables. Screen time and stress level show moderate positive correlations with DED (r = 0.32, r = 0.28), while sleep quality shows a negative correlation (r = -0.25).</w:t>
      </w:r>
    </w:p>
    <w:p w14:paraId="57332133" w14:textId="2D83FB09" w:rsidR="008875CC" w:rsidRPr="008875CC" w:rsidRDefault="008875CC" w:rsidP="008875CC">
      <w:pPr>
        <w:pStyle w:val="Normal1"/>
        <w:spacing w:before="200" w:line="360" w:lineRule="auto"/>
        <w:rPr>
          <w:sz w:val="24"/>
          <w:szCs w:val="24"/>
        </w:rPr>
      </w:pPr>
      <w:r w:rsidRPr="008875CC">
        <w:rPr>
          <w:sz w:val="24"/>
          <w:szCs w:val="24"/>
        </w:rPr>
        <w:t>Logistic regression results identified significant predictors of DED:</w:t>
      </w:r>
    </w:p>
    <w:p w14:paraId="5F8D809C" w14:textId="3B4246C3" w:rsidR="008875CC" w:rsidRPr="008875CC" w:rsidRDefault="00DB0CE4" w:rsidP="008875CC">
      <w:pPr>
        <w:pStyle w:val="Normal1"/>
        <w:numPr>
          <w:ilvl w:val="0"/>
          <w:numId w:val="2"/>
        </w:numPr>
        <w:spacing w:before="200" w:line="360" w:lineRule="auto"/>
        <w:rPr>
          <w:sz w:val="24"/>
          <w:szCs w:val="24"/>
        </w:rPr>
      </w:pPr>
      <w:r>
        <w:rPr>
          <w:noProof/>
        </w:rPr>
        <mc:AlternateContent>
          <mc:Choice Requires="wps">
            <w:drawing>
              <wp:anchor distT="0" distB="0" distL="114300" distR="114300" simplePos="0" relativeHeight="251670528" behindDoc="0" locked="0" layoutInCell="1" allowOverlap="1" wp14:anchorId="51E88CB4" wp14:editId="24784AA8">
                <wp:simplePos x="0" y="0"/>
                <wp:positionH relativeFrom="page">
                  <wp:posOffset>4267200</wp:posOffset>
                </wp:positionH>
                <wp:positionV relativeFrom="paragraph">
                  <wp:posOffset>135890</wp:posOffset>
                </wp:positionV>
                <wp:extent cx="2621280" cy="635"/>
                <wp:effectExtent l="0" t="0" r="7620" b="8255"/>
                <wp:wrapSquare wrapText="bothSides"/>
                <wp:docPr id="35342498" name="Text Box 1"/>
                <wp:cNvGraphicFramePr/>
                <a:graphic xmlns:a="http://schemas.openxmlformats.org/drawingml/2006/main">
                  <a:graphicData uri="http://schemas.microsoft.com/office/word/2010/wordprocessingShape">
                    <wps:wsp>
                      <wps:cNvSpPr txBox="1"/>
                      <wps:spPr>
                        <a:xfrm>
                          <a:off x="0" y="0"/>
                          <a:ext cx="2621280" cy="635"/>
                        </a:xfrm>
                        <a:prstGeom prst="rect">
                          <a:avLst/>
                        </a:prstGeom>
                        <a:solidFill>
                          <a:prstClr val="white"/>
                        </a:solidFill>
                        <a:ln>
                          <a:noFill/>
                        </a:ln>
                      </wps:spPr>
                      <wps:txbx>
                        <w:txbxContent>
                          <w:p w14:paraId="5A6CD3EF" w14:textId="340ACF02" w:rsidR="00D20F47" w:rsidRPr="00D20F47" w:rsidRDefault="00D20F47" w:rsidP="00D20F47">
                            <w:pPr>
                              <w:pStyle w:val="Caption"/>
                              <w:jc w:val="center"/>
                              <w:rPr>
                                <w:i w:val="0"/>
                                <w:iCs w:val="0"/>
                                <w:noProof/>
                                <w:color w:val="000000" w:themeColor="text1"/>
                                <w:sz w:val="20"/>
                                <w:szCs w:val="20"/>
                              </w:rPr>
                            </w:pPr>
                            <w:r w:rsidRPr="00D20F47">
                              <w:rPr>
                                <w:i w:val="0"/>
                                <w:iCs w:val="0"/>
                                <w:color w:val="000000" w:themeColor="text1"/>
                              </w:rPr>
                              <w:t xml:space="preserve">Figure </w:t>
                            </w:r>
                            <w:r w:rsidRPr="00D20F47">
                              <w:rPr>
                                <w:i w:val="0"/>
                                <w:iCs w:val="0"/>
                                <w:color w:val="000000" w:themeColor="text1"/>
                              </w:rPr>
                              <w:fldChar w:fldCharType="begin"/>
                            </w:r>
                            <w:r w:rsidRPr="00D20F47">
                              <w:rPr>
                                <w:i w:val="0"/>
                                <w:iCs w:val="0"/>
                                <w:color w:val="000000" w:themeColor="text1"/>
                              </w:rPr>
                              <w:instrText xml:space="preserve"> SEQ Figure \* ARABIC </w:instrText>
                            </w:r>
                            <w:r w:rsidRPr="00D20F47">
                              <w:rPr>
                                <w:i w:val="0"/>
                                <w:iCs w:val="0"/>
                                <w:color w:val="000000" w:themeColor="text1"/>
                              </w:rPr>
                              <w:fldChar w:fldCharType="separate"/>
                            </w:r>
                            <w:r w:rsidRPr="00D20F47">
                              <w:rPr>
                                <w:i w:val="0"/>
                                <w:iCs w:val="0"/>
                                <w:noProof/>
                                <w:color w:val="000000" w:themeColor="text1"/>
                              </w:rPr>
                              <w:t>3</w:t>
                            </w:r>
                            <w:r w:rsidRPr="00D20F47">
                              <w:rPr>
                                <w:i w:val="0"/>
                                <w:iCs w:val="0"/>
                                <w:color w:val="000000" w:themeColor="text1"/>
                              </w:rPr>
                              <w:fldChar w:fldCharType="end"/>
                            </w:r>
                            <w:r w:rsidRPr="00D20F47">
                              <w:rPr>
                                <w:i w:val="0"/>
                                <w:iCs w:val="0"/>
                                <w:color w:val="000000" w:themeColor="text1"/>
                              </w:rPr>
                              <w:t>: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E88CB4" id="_x0000_s1028" type="#_x0000_t202" style="position:absolute;left:0;text-align:left;margin-left:336pt;margin-top:10.7pt;width:206.4pt;height:.05pt;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" stroked="f">
                <v:textbox style="mso-fit-shape-to-text:t" inset="0,0,0,0">
                  <w:txbxContent>
                    <w:p w14:paraId="5A6CD3EF" w14:textId="340ACF02" w:rsidR="00D20F47" w:rsidRPr="00D20F47" w:rsidRDefault="00D20F47" w:rsidP="00D20F47">
                      <w:pPr>
                        <w:pStyle w:val="Caption"/>
                        <w:jc w:val="center"/>
                        <w:rPr>
                          <w:i w:val="0"/>
                          <w:iCs w:val="0"/>
                          <w:noProof/>
                          <w:color w:val="000000" w:themeColor="text1"/>
                          <w:sz w:val="20"/>
                          <w:szCs w:val="20"/>
                        </w:rPr>
                      </w:pPr>
                      <w:r w:rsidRPr="00D20F47">
                        <w:rPr>
                          <w:i w:val="0"/>
                          <w:iCs w:val="0"/>
                          <w:color w:val="000000" w:themeColor="text1"/>
                        </w:rPr>
                        <w:t xml:space="preserve">Figure </w:t>
                      </w:r>
                      <w:r w:rsidRPr="00D20F47">
                        <w:rPr>
                          <w:i w:val="0"/>
                          <w:iCs w:val="0"/>
                          <w:color w:val="000000" w:themeColor="text1"/>
                        </w:rPr>
                        <w:fldChar w:fldCharType="begin"/>
                      </w:r>
                      <w:r w:rsidRPr="00D20F47">
                        <w:rPr>
                          <w:i w:val="0"/>
                          <w:iCs w:val="0"/>
                          <w:color w:val="000000" w:themeColor="text1"/>
                        </w:rPr>
                        <w:instrText xml:space="preserve"> SEQ Figure \* ARABIC </w:instrText>
                      </w:r>
                      <w:r w:rsidRPr="00D20F47">
                        <w:rPr>
                          <w:i w:val="0"/>
                          <w:iCs w:val="0"/>
                          <w:color w:val="000000" w:themeColor="text1"/>
                        </w:rPr>
                        <w:fldChar w:fldCharType="separate"/>
                      </w:r>
                      <w:r w:rsidRPr="00D20F47">
                        <w:rPr>
                          <w:i w:val="0"/>
                          <w:iCs w:val="0"/>
                          <w:noProof/>
                          <w:color w:val="000000" w:themeColor="text1"/>
                        </w:rPr>
                        <w:t>3</w:t>
                      </w:r>
                      <w:r w:rsidRPr="00D20F47">
                        <w:rPr>
                          <w:i w:val="0"/>
                          <w:iCs w:val="0"/>
                          <w:color w:val="000000" w:themeColor="text1"/>
                        </w:rPr>
                        <w:fldChar w:fldCharType="end"/>
                      </w:r>
                      <w:r w:rsidRPr="00D20F47">
                        <w:rPr>
                          <w:i w:val="0"/>
                          <w:iCs w:val="0"/>
                          <w:color w:val="000000" w:themeColor="text1"/>
                        </w:rPr>
                        <w:t>: Correlation heatmap</w:t>
                      </w:r>
                    </w:p>
                  </w:txbxContent>
                </v:textbox>
                <w10:wrap type="square" anchorx="page"/>
              </v:shape>
            </w:pict>
          </mc:Fallback>
        </mc:AlternateContent>
      </w:r>
      <w:r w:rsidR="008875CC" w:rsidRPr="008875CC">
        <w:rPr>
          <w:b/>
          <w:bCs/>
          <w:sz w:val="24"/>
          <w:szCs w:val="24"/>
        </w:rPr>
        <w:t>Screen Time</w:t>
      </w:r>
      <w:r w:rsidR="008875CC" w:rsidRPr="008875CC">
        <w:rPr>
          <w:sz w:val="24"/>
          <w:szCs w:val="24"/>
        </w:rPr>
        <w:t>: OR = 1.15 (95% CI: 1.08–1.23, p &lt; 0.01)</w:t>
      </w:r>
    </w:p>
    <w:p w14:paraId="528BCDC4" w14:textId="77777777" w:rsidR="008875CC" w:rsidRPr="008875CC" w:rsidRDefault="008875CC" w:rsidP="008875CC">
      <w:pPr>
        <w:pStyle w:val="Normal1"/>
        <w:numPr>
          <w:ilvl w:val="0"/>
          <w:numId w:val="2"/>
        </w:numPr>
        <w:spacing w:before="200" w:line="360" w:lineRule="auto"/>
        <w:rPr>
          <w:sz w:val="24"/>
          <w:szCs w:val="24"/>
        </w:rPr>
      </w:pPr>
      <w:r w:rsidRPr="008875CC">
        <w:rPr>
          <w:b/>
          <w:bCs/>
          <w:sz w:val="24"/>
          <w:szCs w:val="24"/>
        </w:rPr>
        <w:t>Smoking</w:t>
      </w:r>
      <w:r w:rsidRPr="008875CC">
        <w:rPr>
          <w:sz w:val="24"/>
          <w:szCs w:val="24"/>
        </w:rPr>
        <w:t>: OR = 2.1 (95% CI: 1.3–3.4, p &lt; 0.01)</w:t>
      </w:r>
    </w:p>
    <w:p w14:paraId="5861C406" w14:textId="77777777" w:rsidR="008875CC" w:rsidRPr="008875CC" w:rsidRDefault="008875CC" w:rsidP="008875CC">
      <w:pPr>
        <w:pStyle w:val="Normal1"/>
        <w:numPr>
          <w:ilvl w:val="0"/>
          <w:numId w:val="2"/>
        </w:numPr>
        <w:spacing w:before="200" w:line="360" w:lineRule="auto"/>
        <w:rPr>
          <w:sz w:val="24"/>
          <w:szCs w:val="24"/>
        </w:rPr>
      </w:pPr>
      <w:r w:rsidRPr="008875CC">
        <w:rPr>
          <w:b/>
          <w:bCs/>
          <w:sz w:val="24"/>
          <w:szCs w:val="24"/>
        </w:rPr>
        <w:t>Sleep Quality</w:t>
      </w:r>
      <w:r w:rsidRPr="008875CC">
        <w:rPr>
          <w:sz w:val="24"/>
          <w:szCs w:val="24"/>
        </w:rPr>
        <w:t>: OR = 1.9 (95% CI: 1.2–3.0, p &lt; 0.01)</w:t>
      </w:r>
    </w:p>
    <w:p w14:paraId="39AA02A1" w14:textId="77777777" w:rsidR="008875CC" w:rsidRPr="008875CC" w:rsidRDefault="008875CC" w:rsidP="008875CC">
      <w:pPr>
        <w:pStyle w:val="Normal1"/>
        <w:numPr>
          <w:ilvl w:val="0"/>
          <w:numId w:val="2"/>
        </w:numPr>
        <w:spacing w:before="200" w:line="360" w:lineRule="auto"/>
        <w:rPr>
          <w:sz w:val="24"/>
          <w:szCs w:val="24"/>
        </w:rPr>
      </w:pPr>
      <w:r w:rsidRPr="008875CC">
        <w:rPr>
          <w:b/>
          <w:bCs/>
          <w:sz w:val="24"/>
          <w:szCs w:val="24"/>
        </w:rPr>
        <w:t>Gender (Female)</w:t>
      </w:r>
      <w:r w:rsidRPr="008875CC">
        <w:rPr>
          <w:sz w:val="24"/>
          <w:szCs w:val="24"/>
        </w:rPr>
        <w:t>: OR = 1.7 (95% CI: 1.1–2.6, p = 0.03)</w:t>
      </w:r>
    </w:p>
    <w:p w14:paraId="4A33BC45" w14:textId="77777777" w:rsidR="008875CC" w:rsidRPr="008875CC" w:rsidRDefault="008875CC" w:rsidP="008875CC">
      <w:pPr>
        <w:pStyle w:val="Normal1"/>
        <w:numPr>
          <w:ilvl w:val="0"/>
          <w:numId w:val="2"/>
        </w:numPr>
        <w:spacing w:before="200" w:line="360" w:lineRule="auto"/>
        <w:rPr>
          <w:sz w:val="24"/>
          <w:szCs w:val="24"/>
        </w:rPr>
      </w:pPr>
      <w:r w:rsidRPr="008875CC">
        <w:rPr>
          <w:b/>
          <w:bCs/>
          <w:sz w:val="24"/>
          <w:szCs w:val="24"/>
        </w:rPr>
        <w:t>Age</w:t>
      </w:r>
      <w:r w:rsidRPr="008875CC">
        <w:rPr>
          <w:sz w:val="24"/>
          <w:szCs w:val="24"/>
        </w:rPr>
        <w:t>: OR = 1.03 (95% CI: 1.01–1.06, p = 0.04)</w:t>
      </w:r>
    </w:p>
    <w:p w14:paraId="3DCA7E7B" w14:textId="77777777" w:rsidR="008875CC" w:rsidRPr="008875CC" w:rsidRDefault="008875CC" w:rsidP="008875CC">
      <w:pPr>
        <w:pStyle w:val="Normal1"/>
        <w:spacing w:before="200" w:line="360" w:lineRule="auto"/>
        <w:rPr>
          <w:sz w:val="24"/>
          <w:szCs w:val="24"/>
        </w:rPr>
      </w:pPr>
      <w:r w:rsidRPr="008875CC">
        <w:rPr>
          <w:sz w:val="24"/>
          <w:szCs w:val="24"/>
        </w:rPr>
        <w:t>The model achieved an AUC of 0.78, with 75% accuracy, 72% precision, and 70% recall.</w:t>
      </w:r>
    </w:p>
    <w:p w14:paraId="1C62FF3D" w14:textId="77777777" w:rsidR="008875CC" w:rsidRPr="008875CC" w:rsidRDefault="008875CC" w:rsidP="00D20F47">
      <w:pPr>
        <w:pStyle w:val="Normal1"/>
        <w:spacing w:before="200" w:line="360" w:lineRule="auto"/>
        <w:jc w:val="center"/>
        <w:rPr>
          <w:sz w:val="24"/>
          <w:szCs w:val="24"/>
        </w:rPr>
      </w:pPr>
      <w:r w:rsidRPr="008875CC">
        <w:rPr>
          <w:b/>
          <w:bCs/>
          <w:sz w:val="24"/>
          <w:szCs w:val="24"/>
        </w:rPr>
        <w:t>Table 2: Logistic Regression Results</w:t>
      </w:r>
    </w:p>
    <w:tbl>
      <w:tblPr>
        <w:tblStyle w:val="TableGrid"/>
        <w:tblW w:w="0" w:type="auto"/>
        <w:jc w:val="center"/>
        <w:tblLook w:val="04A0" w:firstRow="1" w:lastRow="0" w:firstColumn="1" w:lastColumn="0" w:noHBand="0" w:noVBand="1"/>
      </w:tblPr>
      <w:tblGrid>
        <w:gridCol w:w="1714"/>
        <w:gridCol w:w="1818"/>
        <w:gridCol w:w="1096"/>
        <w:gridCol w:w="913"/>
      </w:tblGrid>
      <w:tr w:rsidR="008875CC" w:rsidRPr="00DB0CE4" w14:paraId="17517E26" w14:textId="77777777" w:rsidTr="00D20F47">
        <w:trPr>
          <w:jc w:val="center"/>
        </w:trPr>
        <w:tc>
          <w:tcPr>
            <w:tcW w:w="0" w:type="auto"/>
            <w:hideMark/>
          </w:tcPr>
          <w:p w14:paraId="1CE696BD" w14:textId="77777777" w:rsidR="008875CC" w:rsidRPr="00DB0CE4" w:rsidRDefault="008875CC" w:rsidP="008875CC">
            <w:pPr>
              <w:pStyle w:val="Normal1"/>
              <w:spacing w:before="200" w:line="360" w:lineRule="auto"/>
              <w:rPr>
                <w:b/>
                <w:bCs/>
                <w:sz w:val="22"/>
                <w:szCs w:val="22"/>
              </w:rPr>
            </w:pPr>
            <w:r w:rsidRPr="00DB0CE4">
              <w:rPr>
                <w:b/>
                <w:bCs/>
                <w:sz w:val="22"/>
                <w:szCs w:val="22"/>
              </w:rPr>
              <w:t>Predictor</w:t>
            </w:r>
          </w:p>
        </w:tc>
        <w:tc>
          <w:tcPr>
            <w:tcW w:w="0" w:type="auto"/>
            <w:hideMark/>
          </w:tcPr>
          <w:p w14:paraId="55318063" w14:textId="77777777" w:rsidR="008875CC" w:rsidRPr="00DB0CE4" w:rsidRDefault="008875CC" w:rsidP="008875CC">
            <w:pPr>
              <w:pStyle w:val="Normal1"/>
              <w:spacing w:before="200" w:line="360" w:lineRule="auto"/>
              <w:rPr>
                <w:b/>
                <w:bCs/>
                <w:sz w:val="22"/>
                <w:szCs w:val="22"/>
              </w:rPr>
            </w:pPr>
            <w:r w:rsidRPr="00DB0CE4">
              <w:rPr>
                <w:b/>
                <w:bCs/>
                <w:sz w:val="22"/>
                <w:szCs w:val="22"/>
              </w:rPr>
              <w:t>Odds Ratio (OR)</w:t>
            </w:r>
          </w:p>
        </w:tc>
        <w:tc>
          <w:tcPr>
            <w:tcW w:w="0" w:type="auto"/>
            <w:hideMark/>
          </w:tcPr>
          <w:p w14:paraId="67174ADA" w14:textId="77777777" w:rsidR="008875CC" w:rsidRPr="00DB0CE4" w:rsidRDefault="008875CC" w:rsidP="008875CC">
            <w:pPr>
              <w:pStyle w:val="Normal1"/>
              <w:spacing w:before="200" w:line="360" w:lineRule="auto"/>
              <w:rPr>
                <w:b/>
                <w:bCs/>
                <w:sz w:val="22"/>
                <w:szCs w:val="22"/>
              </w:rPr>
            </w:pPr>
            <w:r w:rsidRPr="00DB0CE4">
              <w:rPr>
                <w:b/>
                <w:bCs/>
                <w:sz w:val="22"/>
                <w:szCs w:val="22"/>
              </w:rPr>
              <w:t>95% CI</w:t>
            </w:r>
          </w:p>
        </w:tc>
        <w:tc>
          <w:tcPr>
            <w:tcW w:w="0" w:type="auto"/>
            <w:hideMark/>
          </w:tcPr>
          <w:p w14:paraId="039F74D3" w14:textId="77777777" w:rsidR="008875CC" w:rsidRPr="00DB0CE4" w:rsidRDefault="008875CC" w:rsidP="008875CC">
            <w:pPr>
              <w:pStyle w:val="Normal1"/>
              <w:spacing w:before="200" w:line="360" w:lineRule="auto"/>
              <w:rPr>
                <w:b/>
                <w:bCs/>
                <w:sz w:val="22"/>
                <w:szCs w:val="22"/>
              </w:rPr>
            </w:pPr>
            <w:r w:rsidRPr="00DB0CE4">
              <w:rPr>
                <w:b/>
                <w:bCs/>
                <w:sz w:val="22"/>
                <w:szCs w:val="22"/>
              </w:rPr>
              <w:t>p-value</w:t>
            </w:r>
          </w:p>
        </w:tc>
      </w:tr>
      <w:tr w:rsidR="008875CC" w:rsidRPr="00DB0CE4" w14:paraId="34B2848C" w14:textId="77777777" w:rsidTr="00D20F47">
        <w:trPr>
          <w:jc w:val="center"/>
        </w:trPr>
        <w:tc>
          <w:tcPr>
            <w:tcW w:w="0" w:type="auto"/>
            <w:hideMark/>
          </w:tcPr>
          <w:p w14:paraId="2C6133D3" w14:textId="77777777" w:rsidR="008875CC" w:rsidRPr="00DB0CE4" w:rsidRDefault="008875CC" w:rsidP="008875CC">
            <w:pPr>
              <w:pStyle w:val="Normal1"/>
              <w:spacing w:before="200" w:line="360" w:lineRule="auto"/>
              <w:rPr>
                <w:sz w:val="22"/>
                <w:szCs w:val="22"/>
              </w:rPr>
            </w:pPr>
            <w:r w:rsidRPr="00DB0CE4">
              <w:rPr>
                <w:sz w:val="22"/>
                <w:szCs w:val="22"/>
              </w:rPr>
              <w:t>Screen Time</w:t>
            </w:r>
          </w:p>
        </w:tc>
        <w:tc>
          <w:tcPr>
            <w:tcW w:w="0" w:type="auto"/>
            <w:hideMark/>
          </w:tcPr>
          <w:p w14:paraId="280DEC16" w14:textId="77777777" w:rsidR="008875CC" w:rsidRPr="00DB0CE4" w:rsidRDefault="008875CC" w:rsidP="00497A45">
            <w:pPr>
              <w:pStyle w:val="Normal1"/>
              <w:spacing w:before="200" w:line="360" w:lineRule="auto"/>
              <w:jc w:val="center"/>
              <w:rPr>
                <w:sz w:val="22"/>
                <w:szCs w:val="22"/>
              </w:rPr>
            </w:pPr>
            <w:r w:rsidRPr="00DB0CE4">
              <w:rPr>
                <w:sz w:val="22"/>
                <w:szCs w:val="22"/>
              </w:rPr>
              <w:t>1.15</w:t>
            </w:r>
          </w:p>
        </w:tc>
        <w:tc>
          <w:tcPr>
            <w:tcW w:w="0" w:type="auto"/>
            <w:hideMark/>
          </w:tcPr>
          <w:p w14:paraId="3926D7F1" w14:textId="77777777" w:rsidR="008875CC" w:rsidRPr="00DB0CE4" w:rsidRDefault="008875CC" w:rsidP="00497A45">
            <w:pPr>
              <w:pStyle w:val="Normal1"/>
              <w:spacing w:before="200" w:line="360" w:lineRule="auto"/>
              <w:jc w:val="center"/>
              <w:rPr>
                <w:sz w:val="22"/>
                <w:szCs w:val="22"/>
              </w:rPr>
            </w:pPr>
            <w:r w:rsidRPr="00DB0CE4">
              <w:rPr>
                <w:sz w:val="22"/>
                <w:szCs w:val="22"/>
              </w:rPr>
              <w:t>1.08–1.23</w:t>
            </w:r>
          </w:p>
        </w:tc>
        <w:tc>
          <w:tcPr>
            <w:tcW w:w="0" w:type="auto"/>
            <w:hideMark/>
          </w:tcPr>
          <w:p w14:paraId="22370B20" w14:textId="77777777" w:rsidR="008875CC" w:rsidRPr="00DB0CE4" w:rsidRDefault="008875CC" w:rsidP="00497A45">
            <w:pPr>
              <w:pStyle w:val="Normal1"/>
              <w:spacing w:before="200" w:line="360" w:lineRule="auto"/>
              <w:jc w:val="center"/>
              <w:rPr>
                <w:sz w:val="22"/>
                <w:szCs w:val="22"/>
              </w:rPr>
            </w:pPr>
            <w:r w:rsidRPr="00DB0CE4">
              <w:rPr>
                <w:sz w:val="22"/>
                <w:szCs w:val="22"/>
              </w:rPr>
              <w:t>&lt;0.01</w:t>
            </w:r>
          </w:p>
        </w:tc>
      </w:tr>
      <w:tr w:rsidR="008875CC" w:rsidRPr="00DB0CE4" w14:paraId="5D3C4507" w14:textId="77777777" w:rsidTr="00D20F47">
        <w:trPr>
          <w:jc w:val="center"/>
        </w:trPr>
        <w:tc>
          <w:tcPr>
            <w:tcW w:w="0" w:type="auto"/>
            <w:hideMark/>
          </w:tcPr>
          <w:p w14:paraId="3F93B1FF" w14:textId="77777777" w:rsidR="008875CC" w:rsidRPr="00DB0CE4" w:rsidRDefault="008875CC" w:rsidP="008875CC">
            <w:pPr>
              <w:pStyle w:val="Normal1"/>
              <w:spacing w:before="200" w:line="360" w:lineRule="auto"/>
              <w:rPr>
                <w:sz w:val="22"/>
                <w:szCs w:val="22"/>
              </w:rPr>
            </w:pPr>
            <w:r w:rsidRPr="00DB0CE4">
              <w:rPr>
                <w:sz w:val="22"/>
                <w:szCs w:val="22"/>
              </w:rPr>
              <w:lastRenderedPageBreak/>
              <w:t>Smoking (Yes)</w:t>
            </w:r>
          </w:p>
        </w:tc>
        <w:tc>
          <w:tcPr>
            <w:tcW w:w="0" w:type="auto"/>
            <w:hideMark/>
          </w:tcPr>
          <w:p w14:paraId="202053E3" w14:textId="77777777" w:rsidR="008875CC" w:rsidRPr="00DB0CE4" w:rsidRDefault="008875CC" w:rsidP="00497A45">
            <w:pPr>
              <w:pStyle w:val="Normal1"/>
              <w:spacing w:before="200" w:line="360" w:lineRule="auto"/>
              <w:jc w:val="center"/>
              <w:rPr>
                <w:sz w:val="22"/>
                <w:szCs w:val="22"/>
              </w:rPr>
            </w:pPr>
            <w:r w:rsidRPr="00DB0CE4">
              <w:rPr>
                <w:sz w:val="22"/>
                <w:szCs w:val="22"/>
              </w:rPr>
              <w:t>2.1</w:t>
            </w:r>
          </w:p>
        </w:tc>
        <w:tc>
          <w:tcPr>
            <w:tcW w:w="0" w:type="auto"/>
            <w:hideMark/>
          </w:tcPr>
          <w:p w14:paraId="133EF38D" w14:textId="77777777" w:rsidR="008875CC" w:rsidRPr="00DB0CE4" w:rsidRDefault="008875CC" w:rsidP="00497A45">
            <w:pPr>
              <w:pStyle w:val="Normal1"/>
              <w:spacing w:before="200" w:line="360" w:lineRule="auto"/>
              <w:jc w:val="center"/>
              <w:rPr>
                <w:sz w:val="22"/>
                <w:szCs w:val="22"/>
              </w:rPr>
            </w:pPr>
            <w:r w:rsidRPr="00DB0CE4">
              <w:rPr>
                <w:sz w:val="22"/>
                <w:szCs w:val="22"/>
              </w:rPr>
              <w:t>1.3–3.4</w:t>
            </w:r>
          </w:p>
        </w:tc>
        <w:tc>
          <w:tcPr>
            <w:tcW w:w="0" w:type="auto"/>
            <w:hideMark/>
          </w:tcPr>
          <w:p w14:paraId="711211A8" w14:textId="77777777" w:rsidR="008875CC" w:rsidRPr="00DB0CE4" w:rsidRDefault="008875CC" w:rsidP="00497A45">
            <w:pPr>
              <w:pStyle w:val="Normal1"/>
              <w:spacing w:before="200" w:line="360" w:lineRule="auto"/>
              <w:jc w:val="center"/>
              <w:rPr>
                <w:sz w:val="22"/>
                <w:szCs w:val="22"/>
              </w:rPr>
            </w:pPr>
            <w:r w:rsidRPr="00DB0CE4">
              <w:rPr>
                <w:sz w:val="22"/>
                <w:szCs w:val="22"/>
              </w:rPr>
              <w:t>&lt;0.01</w:t>
            </w:r>
          </w:p>
        </w:tc>
      </w:tr>
      <w:tr w:rsidR="008875CC" w:rsidRPr="00DB0CE4" w14:paraId="64C86BCF" w14:textId="77777777" w:rsidTr="00D20F47">
        <w:trPr>
          <w:jc w:val="center"/>
        </w:trPr>
        <w:tc>
          <w:tcPr>
            <w:tcW w:w="0" w:type="auto"/>
            <w:hideMark/>
          </w:tcPr>
          <w:p w14:paraId="6C310611" w14:textId="77777777" w:rsidR="008875CC" w:rsidRPr="00DB0CE4" w:rsidRDefault="008875CC" w:rsidP="008875CC">
            <w:pPr>
              <w:pStyle w:val="Normal1"/>
              <w:spacing w:before="200" w:line="360" w:lineRule="auto"/>
              <w:rPr>
                <w:sz w:val="22"/>
                <w:szCs w:val="22"/>
              </w:rPr>
            </w:pPr>
            <w:r w:rsidRPr="00DB0CE4">
              <w:rPr>
                <w:sz w:val="22"/>
                <w:szCs w:val="22"/>
              </w:rPr>
              <w:t>Sleep Quality</w:t>
            </w:r>
          </w:p>
        </w:tc>
        <w:tc>
          <w:tcPr>
            <w:tcW w:w="0" w:type="auto"/>
            <w:hideMark/>
          </w:tcPr>
          <w:p w14:paraId="2FC2A2ED" w14:textId="77777777" w:rsidR="008875CC" w:rsidRPr="00DB0CE4" w:rsidRDefault="008875CC" w:rsidP="00497A45">
            <w:pPr>
              <w:pStyle w:val="Normal1"/>
              <w:spacing w:before="200" w:line="360" w:lineRule="auto"/>
              <w:jc w:val="center"/>
              <w:rPr>
                <w:sz w:val="22"/>
                <w:szCs w:val="22"/>
              </w:rPr>
            </w:pPr>
            <w:r w:rsidRPr="00DB0CE4">
              <w:rPr>
                <w:sz w:val="22"/>
                <w:szCs w:val="22"/>
              </w:rPr>
              <w:t>1.9</w:t>
            </w:r>
          </w:p>
        </w:tc>
        <w:tc>
          <w:tcPr>
            <w:tcW w:w="0" w:type="auto"/>
            <w:hideMark/>
          </w:tcPr>
          <w:p w14:paraId="58F1358A" w14:textId="77777777" w:rsidR="008875CC" w:rsidRPr="00DB0CE4" w:rsidRDefault="008875CC" w:rsidP="00497A45">
            <w:pPr>
              <w:pStyle w:val="Normal1"/>
              <w:spacing w:before="200" w:line="360" w:lineRule="auto"/>
              <w:jc w:val="center"/>
              <w:rPr>
                <w:sz w:val="22"/>
                <w:szCs w:val="22"/>
              </w:rPr>
            </w:pPr>
            <w:r w:rsidRPr="00DB0CE4">
              <w:rPr>
                <w:sz w:val="22"/>
                <w:szCs w:val="22"/>
              </w:rPr>
              <w:t>1.2–3.0</w:t>
            </w:r>
          </w:p>
        </w:tc>
        <w:tc>
          <w:tcPr>
            <w:tcW w:w="0" w:type="auto"/>
            <w:hideMark/>
          </w:tcPr>
          <w:p w14:paraId="389FC800" w14:textId="77777777" w:rsidR="008875CC" w:rsidRPr="00DB0CE4" w:rsidRDefault="008875CC" w:rsidP="00497A45">
            <w:pPr>
              <w:pStyle w:val="Normal1"/>
              <w:spacing w:before="200" w:line="360" w:lineRule="auto"/>
              <w:jc w:val="center"/>
              <w:rPr>
                <w:sz w:val="22"/>
                <w:szCs w:val="22"/>
              </w:rPr>
            </w:pPr>
            <w:r w:rsidRPr="00DB0CE4">
              <w:rPr>
                <w:sz w:val="22"/>
                <w:szCs w:val="22"/>
              </w:rPr>
              <w:t>&lt;0.01</w:t>
            </w:r>
          </w:p>
        </w:tc>
      </w:tr>
      <w:tr w:rsidR="008875CC" w:rsidRPr="00DB0CE4" w14:paraId="0A508052" w14:textId="77777777" w:rsidTr="00D20F47">
        <w:trPr>
          <w:jc w:val="center"/>
        </w:trPr>
        <w:tc>
          <w:tcPr>
            <w:tcW w:w="0" w:type="auto"/>
            <w:hideMark/>
          </w:tcPr>
          <w:p w14:paraId="77DCCCCC" w14:textId="77777777" w:rsidR="008875CC" w:rsidRPr="00DB0CE4" w:rsidRDefault="008875CC" w:rsidP="008875CC">
            <w:pPr>
              <w:pStyle w:val="Normal1"/>
              <w:spacing w:before="200" w:line="360" w:lineRule="auto"/>
              <w:rPr>
                <w:sz w:val="22"/>
                <w:szCs w:val="22"/>
              </w:rPr>
            </w:pPr>
            <w:r w:rsidRPr="00DB0CE4">
              <w:rPr>
                <w:sz w:val="22"/>
                <w:szCs w:val="22"/>
              </w:rPr>
              <w:t>Gender (Female)</w:t>
            </w:r>
          </w:p>
        </w:tc>
        <w:tc>
          <w:tcPr>
            <w:tcW w:w="0" w:type="auto"/>
            <w:hideMark/>
          </w:tcPr>
          <w:p w14:paraId="6CA99DD3" w14:textId="77777777" w:rsidR="008875CC" w:rsidRPr="00DB0CE4" w:rsidRDefault="008875CC" w:rsidP="00497A45">
            <w:pPr>
              <w:pStyle w:val="Normal1"/>
              <w:spacing w:before="200" w:line="360" w:lineRule="auto"/>
              <w:jc w:val="center"/>
              <w:rPr>
                <w:sz w:val="22"/>
                <w:szCs w:val="22"/>
              </w:rPr>
            </w:pPr>
            <w:r w:rsidRPr="00DB0CE4">
              <w:rPr>
                <w:sz w:val="22"/>
                <w:szCs w:val="22"/>
              </w:rPr>
              <w:t>1.7</w:t>
            </w:r>
          </w:p>
        </w:tc>
        <w:tc>
          <w:tcPr>
            <w:tcW w:w="0" w:type="auto"/>
            <w:hideMark/>
          </w:tcPr>
          <w:p w14:paraId="4218A143" w14:textId="77777777" w:rsidR="008875CC" w:rsidRPr="00DB0CE4" w:rsidRDefault="008875CC" w:rsidP="00497A45">
            <w:pPr>
              <w:pStyle w:val="Normal1"/>
              <w:spacing w:before="200" w:line="360" w:lineRule="auto"/>
              <w:jc w:val="center"/>
              <w:rPr>
                <w:sz w:val="22"/>
                <w:szCs w:val="22"/>
              </w:rPr>
            </w:pPr>
            <w:r w:rsidRPr="00DB0CE4">
              <w:rPr>
                <w:sz w:val="22"/>
                <w:szCs w:val="22"/>
              </w:rPr>
              <w:t>1.1–2.6</w:t>
            </w:r>
          </w:p>
        </w:tc>
        <w:tc>
          <w:tcPr>
            <w:tcW w:w="0" w:type="auto"/>
            <w:hideMark/>
          </w:tcPr>
          <w:p w14:paraId="45EF59B0" w14:textId="77777777" w:rsidR="008875CC" w:rsidRPr="00DB0CE4" w:rsidRDefault="008875CC" w:rsidP="00497A45">
            <w:pPr>
              <w:pStyle w:val="Normal1"/>
              <w:spacing w:before="200" w:line="360" w:lineRule="auto"/>
              <w:jc w:val="center"/>
              <w:rPr>
                <w:sz w:val="22"/>
                <w:szCs w:val="22"/>
              </w:rPr>
            </w:pPr>
            <w:r w:rsidRPr="00DB0CE4">
              <w:rPr>
                <w:sz w:val="22"/>
                <w:szCs w:val="22"/>
              </w:rPr>
              <w:t>0.03</w:t>
            </w:r>
          </w:p>
        </w:tc>
      </w:tr>
      <w:tr w:rsidR="008875CC" w:rsidRPr="00DB0CE4" w14:paraId="0FF3D672" w14:textId="77777777" w:rsidTr="00D20F47">
        <w:trPr>
          <w:jc w:val="center"/>
        </w:trPr>
        <w:tc>
          <w:tcPr>
            <w:tcW w:w="0" w:type="auto"/>
            <w:hideMark/>
          </w:tcPr>
          <w:p w14:paraId="4D5772ED" w14:textId="77777777" w:rsidR="008875CC" w:rsidRPr="00DB0CE4" w:rsidRDefault="008875CC" w:rsidP="008875CC">
            <w:pPr>
              <w:pStyle w:val="Normal1"/>
              <w:spacing w:before="200" w:line="360" w:lineRule="auto"/>
              <w:rPr>
                <w:sz w:val="22"/>
                <w:szCs w:val="22"/>
              </w:rPr>
            </w:pPr>
            <w:r w:rsidRPr="00DB0CE4">
              <w:rPr>
                <w:sz w:val="22"/>
                <w:szCs w:val="22"/>
              </w:rPr>
              <w:t>Age</w:t>
            </w:r>
          </w:p>
        </w:tc>
        <w:tc>
          <w:tcPr>
            <w:tcW w:w="0" w:type="auto"/>
            <w:hideMark/>
          </w:tcPr>
          <w:p w14:paraId="2EE0BD39" w14:textId="77777777" w:rsidR="008875CC" w:rsidRPr="00DB0CE4" w:rsidRDefault="008875CC" w:rsidP="00497A45">
            <w:pPr>
              <w:pStyle w:val="Normal1"/>
              <w:spacing w:before="200" w:line="360" w:lineRule="auto"/>
              <w:jc w:val="center"/>
              <w:rPr>
                <w:sz w:val="22"/>
                <w:szCs w:val="22"/>
              </w:rPr>
            </w:pPr>
            <w:r w:rsidRPr="00DB0CE4">
              <w:rPr>
                <w:sz w:val="22"/>
                <w:szCs w:val="22"/>
              </w:rPr>
              <w:t>1.03</w:t>
            </w:r>
          </w:p>
        </w:tc>
        <w:tc>
          <w:tcPr>
            <w:tcW w:w="0" w:type="auto"/>
            <w:hideMark/>
          </w:tcPr>
          <w:p w14:paraId="7EC80659" w14:textId="77777777" w:rsidR="008875CC" w:rsidRPr="00DB0CE4" w:rsidRDefault="008875CC" w:rsidP="00497A45">
            <w:pPr>
              <w:pStyle w:val="Normal1"/>
              <w:spacing w:before="200" w:line="360" w:lineRule="auto"/>
              <w:jc w:val="center"/>
              <w:rPr>
                <w:sz w:val="22"/>
                <w:szCs w:val="22"/>
              </w:rPr>
            </w:pPr>
            <w:r w:rsidRPr="00DB0CE4">
              <w:rPr>
                <w:sz w:val="22"/>
                <w:szCs w:val="22"/>
              </w:rPr>
              <w:t>1.01–1.06</w:t>
            </w:r>
          </w:p>
        </w:tc>
        <w:tc>
          <w:tcPr>
            <w:tcW w:w="0" w:type="auto"/>
            <w:hideMark/>
          </w:tcPr>
          <w:p w14:paraId="5AA891F2" w14:textId="77777777" w:rsidR="008875CC" w:rsidRPr="00DB0CE4" w:rsidRDefault="008875CC" w:rsidP="00497A45">
            <w:pPr>
              <w:pStyle w:val="Normal1"/>
              <w:spacing w:before="200" w:line="360" w:lineRule="auto"/>
              <w:jc w:val="center"/>
              <w:rPr>
                <w:sz w:val="22"/>
                <w:szCs w:val="22"/>
              </w:rPr>
            </w:pPr>
            <w:r w:rsidRPr="00DB0CE4">
              <w:rPr>
                <w:sz w:val="22"/>
                <w:szCs w:val="22"/>
              </w:rPr>
              <w:t>0.04</w:t>
            </w:r>
          </w:p>
        </w:tc>
      </w:tr>
      <w:tr w:rsidR="008875CC" w:rsidRPr="00DB0CE4" w14:paraId="19732B16" w14:textId="77777777" w:rsidTr="00D20F47">
        <w:trPr>
          <w:jc w:val="center"/>
        </w:trPr>
        <w:tc>
          <w:tcPr>
            <w:tcW w:w="0" w:type="auto"/>
            <w:hideMark/>
          </w:tcPr>
          <w:p w14:paraId="18768B9D" w14:textId="77777777" w:rsidR="008875CC" w:rsidRPr="00DB0CE4" w:rsidRDefault="008875CC" w:rsidP="008875CC">
            <w:pPr>
              <w:pStyle w:val="Normal1"/>
              <w:spacing w:before="200" w:line="360" w:lineRule="auto"/>
              <w:rPr>
                <w:sz w:val="22"/>
                <w:szCs w:val="22"/>
              </w:rPr>
            </w:pPr>
            <w:r w:rsidRPr="00DB0CE4">
              <w:rPr>
                <w:sz w:val="22"/>
                <w:szCs w:val="22"/>
              </w:rPr>
              <w:t>Stress Level</w:t>
            </w:r>
          </w:p>
        </w:tc>
        <w:tc>
          <w:tcPr>
            <w:tcW w:w="0" w:type="auto"/>
            <w:hideMark/>
          </w:tcPr>
          <w:p w14:paraId="16D6C25B" w14:textId="77777777" w:rsidR="008875CC" w:rsidRPr="00DB0CE4" w:rsidRDefault="008875CC" w:rsidP="00497A45">
            <w:pPr>
              <w:pStyle w:val="Normal1"/>
              <w:spacing w:before="200" w:line="360" w:lineRule="auto"/>
              <w:jc w:val="center"/>
              <w:rPr>
                <w:sz w:val="22"/>
                <w:szCs w:val="22"/>
              </w:rPr>
            </w:pPr>
            <w:r w:rsidRPr="00DB0CE4">
              <w:rPr>
                <w:sz w:val="22"/>
                <w:szCs w:val="22"/>
              </w:rPr>
              <w:t>1.2</w:t>
            </w:r>
          </w:p>
        </w:tc>
        <w:tc>
          <w:tcPr>
            <w:tcW w:w="0" w:type="auto"/>
            <w:hideMark/>
          </w:tcPr>
          <w:p w14:paraId="47EAD900" w14:textId="77777777" w:rsidR="008875CC" w:rsidRPr="00DB0CE4" w:rsidRDefault="008875CC" w:rsidP="00497A45">
            <w:pPr>
              <w:pStyle w:val="Normal1"/>
              <w:spacing w:before="200" w:line="360" w:lineRule="auto"/>
              <w:jc w:val="center"/>
              <w:rPr>
                <w:sz w:val="22"/>
                <w:szCs w:val="22"/>
              </w:rPr>
            </w:pPr>
            <w:r w:rsidRPr="00DB0CE4">
              <w:rPr>
                <w:sz w:val="22"/>
                <w:szCs w:val="22"/>
              </w:rPr>
              <w:t>0.9–1.6</w:t>
            </w:r>
          </w:p>
        </w:tc>
        <w:tc>
          <w:tcPr>
            <w:tcW w:w="0" w:type="auto"/>
            <w:hideMark/>
          </w:tcPr>
          <w:p w14:paraId="1793BAD5" w14:textId="77777777" w:rsidR="008875CC" w:rsidRPr="00DB0CE4" w:rsidRDefault="008875CC" w:rsidP="00497A45">
            <w:pPr>
              <w:pStyle w:val="Normal1"/>
              <w:spacing w:before="200" w:line="360" w:lineRule="auto"/>
              <w:jc w:val="center"/>
              <w:rPr>
                <w:sz w:val="22"/>
                <w:szCs w:val="22"/>
              </w:rPr>
            </w:pPr>
            <w:r w:rsidRPr="00DB0CE4">
              <w:rPr>
                <w:sz w:val="22"/>
                <w:szCs w:val="22"/>
              </w:rPr>
              <w:t>0.12</w:t>
            </w:r>
          </w:p>
        </w:tc>
      </w:tr>
      <w:tr w:rsidR="008875CC" w:rsidRPr="00DB0CE4" w14:paraId="0DFBC3D4" w14:textId="77777777" w:rsidTr="00D20F47">
        <w:trPr>
          <w:jc w:val="center"/>
        </w:trPr>
        <w:tc>
          <w:tcPr>
            <w:tcW w:w="0" w:type="auto"/>
            <w:hideMark/>
          </w:tcPr>
          <w:p w14:paraId="7248BD30" w14:textId="77777777" w:rsidR="008875CC" w:rsidRPr="00DB0CE4" w:rsidRDefault="008875CC" w:rsidP="008875CC">
            <w:pPr>
              <w:pStyle w:val="Normal1"/>
              <w:spacing w:before="200" w:line="360" w:lineRule="auto"/>
              <w:rPr>
                <w:sz w:val="22"/>
                <w:szCs w:val="22"/>
              </w:rPr>
            </w:pPr>
            <w:r w:rsidRPr="00DB0CE4">
              <w:rPr>
                <w:sz w:val="22"/>
                <w:szCs w:val="22"/>
              </w:rPr>
              <w:t>Blue-Light Filter</w:t>
            </w:r>
          </w:p>
        </w:tc>
        <w:tc>
          <w:tcPr>
            <w:tcW w:w="0" w:type="auto"/>
            <w:hideMark/>
          </w:tcPr>
          <w:p w14:paraId="6B8EBE3D" w14:textId="77777777" w:rsidR="008875CC" w:rsidRPr="00DB0CE4" w:rsidRDefault="008875CC" w:rsidP="00497A45">
            <w:pPr>
              <w:pStyle w:val="Normal1"/>
              <w:spacing w:before="200" w:line="360" w:lineRule="auto"/>
              <w:jc w:val="center"/>
              <w:rPr>
                <w:sz w:val="22"/>
                <w:szCs w:val="22"/>
              </w:rPr>
            </w:pPr>
            <w:r w:rsidRPr="00DB0CE4">
              <w:rPr>
                <w:sz w:val="22"/>
                <w:szCs w:val="22"/>
              </w:rPr>
              <w:t>0.8</w:t>
            </w:r>
          </w:p>
        </w:tc>
        <w:tc>
          <w:tcPr>
            <w:tcW w:w="0" w:type="auto"/>
            <w:hideMark/>
          </w:tcPr>
          <w:p w14:paraId="5E252843" w14:textId="77777777" w:rsidR="008875CC" w:rsidRPr="00DB0CE4" w:rsidRDefault="008875CC" w:rsidP="00497A45">
            <w:pPr>
              <w:pStyle w:val="Normal1"/>
              <w:spacing w:before="200" w:line="360" w:lineRule="auto"/>
              <w:jc w:val="center"/>
              <w:rPr>
                <w:sz w:val="22"/>
                <w:szCs w:val="22"/>
              </w:rPr>
            </w:pPr>
            <w:r w:rsidRPr="00DB0CE4">
              <w:rPr>
                <w:sz w:val="22"/>
                <w:szCs w:val="22"/>
              </w:rPr>
              <w:t>0.5–1.2</w:t>
            </w:r>
          </w:p>
        </w:tc>
        <w:tc>
          <w:tcPr>
            <w:tcW w:w="0" w:type="auto"/>
            <w:hideMark/>
          </w:tcPr>
          <w:p w14:paraId="52868727" w14:textId="77777777" w:rsidR="008875CC" w:rsidRPr="00DB0CE4" w:rsidRDefault="008875CC" w:rsidP="00497A45">
            <w:pPr>
              <w:pStyle w:val="Normal1"/>
              <w:spacing w:before="200" w:line="360" w:lineRule="auto"/>
              <w:jc w:val="center"/>
              <w:rPr>
                <w:sz w:val="22"/>
                <w:szCs w:val="22"/>
              </w:rPr>
            </w:pPr>
            <w:r w:rsidRPr="00DB0CE4">
              <w:rPr>
                <w:sz w:val="22"/>
                <w:szCs w:val="22"/>
              </w:rPr>
              <w:t>0.28</w:t>
            </w:r>
          </w:p>
        </w:tc>
      </w:tr>
    </w:tbl>
    <w:p w14:paraId="6C8C117E" w14:textId="17463408" w:rsidR="008875CC" w:rsidRPr="008875CC" w:rsidRDefault="008875CC" w:rsidP="008875CC">
      <w:pPr>
        <w:pStyle w:val="Normal1"/>
        <w:spacing w:before="200" w:line="360" w:lineRule="auto"/>
        <w:rPr>
          <w:b/>
          <w:bCs/>
          <w:sz w:val="24"/>
          <w:szCs w:val="24"/>
        </w:rPr>
      </w:pPr>
      <w:r w:rsidRPr="008875CC">
        <w:rPr>
          <w:b/>
          <w:bCs/>
          <w:sz w:val="24"/>
          <w:szCs w:val="24"/>
        </w:rPr>
        <w:t>Discussion</w:t>
      </w:r>
    </w:p>
    <w:p w14:paraId="5487FF17" w14:textId="77777777" w:rsidR="008875CC" w:rsidRPr="008875CC" w:rsidRDefault="008875CC" w:rsidP="008875CC">
      <w:pPr>
        <w:pStyle w:val="Normal1"/>
        <w:spacing w:before="200" w:line="360" w:lineRule="auto"/>
        <w:rPr>
          <w:sz w:val="24"/>
          <w:szCs w:val="24"/>
        </w:rPr>
      </w:pPr>
      <w:r w:rsidRPr="008875CC">
        <w:rPr>
          <w:sz w:val="24"/>
          <w:szCs w:val="24"/>
        </w:rPr>
        <w:t>The results confirm that prolonged screen time, smoking, and poor sleep quality significantly increase DED risk, consistent with prior studies linking digital exposure and systemic health to ocular conditions. Females and older individuals showed higher risk, possibly due to hormonal or age-related tear film changes. The lack of significant association with blue-light filter usage suggests limited protective effects in this cohort. Limitations include the cross-sectional design, which prevents causal inference, and potential self-reporting biases in lifestyle variables. These findings advocate for lifestyle interventions, such as screen time reduction and smoking cessation programs, to mitigate DED.</w:t>
      </w:r>
    </w:p>
    <w:p w14:paraId="57FCB80F" w14:textId="47DC822D" w:rsidR="00071152" w:rsidRDefault="00B40DAD" w:rsidP="00393FAD">
      <w:pPr>
        <w:pStyle w:val="Normal1"/>
        <w:spacing w:before="200" w:line="360" w:lineRule="auto"/>
        <w:rPr>
          <w:b/>
          <w:bCs/>
          <w:sz w:val="24"/>
          <w:szCs w:val="24"/>
        </w:rPr>
      </w:pPr>
      <w:r w:rsidRPr="00B40DAD">
        <w:rPr>
          <w:b/>
          <w:bCs/>
          <w:sz w:val="24"/>
          <w:szCs w:val="24"/>
        </w:rPr>
        <w:t>References</w:t>
      </w:r>
    </w:p>
    <w:p w14:paraId="2B0F7F3F" w14:textId="2D40EDA8" w:rsidR="00B40DAD" w:rsidRPr="00B40DAD" w:rsidRDefault="00B40DAD" w:rsidP="00B40DAD">
      <w:pPr>
        <w:pStyle w:val="Normal1"/>
        <w:numPr>
          <w:ilvl w:val="0"/>
          <w:numId w:val="3"/>
        </w:numPr>
        <w:spacing w:before="200" w:line="360" w:lineRule="auto"/>
        <w:rPr>
          <w:sz w:val="24"/>
          <w:szCs w:val="24"/>
        </w:rPr>
      </w:pPr>
      <w:proofErr w:type="spellStart"/>
      <w:r w:rsidRPr="00B40DAD">
        <w:rPr>
          <w:sz w:val="24"/>
          <w:szCs w:val="24"/>
        </w:rPr>
        <w:t>Albalawi</w:t>
      </w:r>
      <w:proofErr w:type="spellEnd"/>
      <w:r w:rsidRPr="00B40DAD">
        <w:rPr>
          <w:sz w:val="24"/>
          <w:szCs w:val="24"/>
        </w:rPr>
        <w:t xml:space="preserve"> ED, </w:t>
      </w:r>
      <w:proofErr w:type="spellStart"/>
      <w:r w:rsidRPr="00B40DAD">
        <w:rPr>
          <w:sz w:val="24"/>
          <w:szCs w:val="24"/>
        </w:rPr>
        <w:t>Alswayed</w:t>
      </w:r>
      <w:proofErr w:type="spellEnd"/>
      <w:r w:rsidRPr="00B40DAD">
        <w:rPr>
          <w:sz w:val="24"/>
          <w:szCs w:val="24"/>
        </w:rPr>
        <w:t xml:space="preserve"> SK, </w:t>
      </w:r>
      <w:proofErr w:type="spellStart"/>
      <w:r w:rsidRPr="00B40DAD">
        <w:rPr>
          <w:sz w:val="24"/>
          <w:szCs w:val="24"/>
        </w:rPr>
        <w:t>Aldharman</w:t>
      </w:r>
      <w:proofErr w:type="spellEnd"/>
      <w:r w:rsidRPr="00B40DAD">
        <w:rPr>
          <w:sz w:val="24"/>
          <w:szCs w:val="24"/>
        </w:rPr>
        <w:t xml:space="preserve"> SS, </w:t>
      </w:r>
      <w:proofErr w:type="spellStart"/>
      <w:r w:rsidRPr="00B40DAD">
        <w:rPr>
          <w:sz w:val="24"/>
          <w:szCs w:val="24"/>
        </w:rPr>
        <w:t>Alshangiti</w:t>
      </w:r>
      <w:proofErr w:type="spellEnd"/>
      <w:r w:rsidRPr="00B40DAD">
        <w:rPr>
          <w:sz w:val="24"/>
          <w:szCs w:val="24"/>
        </w:rPr>
        <w:t xml:space="preserve"> AY, Alhussein GA, </w:t>
      </w:r>
      <w:proofErr w:type="spellStart"/>
      <w:r w:rsidRPr="00B40DAD">
        <w:rPr>
          <w:sz w:val="24"/>
          <w:szCs w:val="24"/>
        </w:rPr>
        <w:t>Alamawi</w:t>
      </w:r>
      <w:proofErr w:type="spellEnd"/>
      <w:r w:rsidRPr="00B40DAD">
        <w:rPr>
          <w:sz w:val="24"/>
          <w:szCs w:val="24"/>
        </w:rPr>
        <w:t xml:space="preserve"> HO. The Association of Screen Time, Sleep Quality, and Dry Eye Among College Students in Saudi Arabia. </w:t>
      </w:r>
      <w:r w:rsidRPr="00B40DAD">
        <w:rPr>
          <w:i/>
          <w:iCs/>
          <w:sz w:val="24"/>
          <w:szCs w:val="24"/>
        </w:rPr>
        <w:t>Cureus</w:t>
      </w:r>
      <w:r w:rsidRPr="00B40DAD">
        <w:rPr>
          <w:sz w:val="24"/>
          <w:szCs w:val="24"/>
        </w:rPr>
        <w:t>. 2023;15(4</w:t>
      </w:r>
      <w:proofErr w:type="gramStart"/>
      <w:r w:rsidRPr="00B40DAD">
        <w:rPr>
          <w:sz w:val="24"/>
          <w:szCs w:val="24"/>
        </w:rPr>
        <w:t>):e</w:t>
      </w:r>
      <w:proofErr w:type="gramEnd"/>
      <w:r w:rsidRPr="00B40DAD">
        <w:rPr>
          <w:sz w:val="24"/>
          <w:szCs w:val="24"/>
        </w:rPr>
        <w:t xml:space="preserve">37533. doi:10.7759/cureus.37533. </w:t>
      </w:r>
    </w:p>
    <w:p w14:paraId="0C9160B1" w14:textId="2EEA0772" w:rsidR="00B40DAD" w:rsidRPr="00B40DAD" w:rsidRDefault="00B40DAD" w:rsidP="00B40DAD">
      <w:pPr>
        <w:pStyle w:val="Normal1"/>
        <w:numPr>
          <w:ilvl w:val="0"/>
          <w:numId w:val="3"/>
        </w:numPr>
        <w:spacing w:before="200" w:line="360" w:lineRule="auto"/>
        <w:rPr>
          <w:sz w:val="24"/>
          <w:szCs w:val="24"/>
        </w:rPr>
      </w:pPr>
      <w:r w:rsidRPr="00B40DAD">
        <w:rPr>
          <w:sz w:val="24"/>
          <w:szCs w:val="24"/>
        </w:rPr>
        <w:t xml:space="preserve">Abdulrahman A, Jawaher A, Tahani A, Rawan B, Mohammed A, Lujain A, Mohammed K, Zainab Z, Rawan A. The Impact of Electronic Device Use on Dry Eye Disease Symptoms based on Age and Gender: A Cross-sectional Study in Health Science University Students. </w:t>
      </w:r>
      <w:r w:rsidRPr="00B40DAD">
        <w:rPr>
          <w:i/>
          <w:iCs/>
          <w:sz w:val="24"/>
          <w:szCs w:val="24"/>
        </w:rPr>
        <w:t>The Open Ophthalmology Journal</w:t>
      </w:r>
      <w:r w:rsidRPr="00B40DAD">
        <w:rPr>
          <w:sz w:val="24"/>
          <w:szCs w:val="24"/>
        </w:rPr>
        <w:t>. 2024;</w:t>
      </w:r>
      <w:proofErr w:type="gramStart"/>
      <w:r w:rsidRPr="00B40DAD">
        <w:rPr>
          <w:sz w:val="24"/>
          <w:szCs w:val="24"/>
        </w:rPr>
        <w:t>18:e</w:t>
      </w:r>
      <w:proofErr w:type="gramEnd"/>
      <w:r w:rsidRPr="00B40DAD">
        <w:rPr>
          <w:sz w:val="24"/>
          <w:szCs w:val="24"/>
        </w:rPr>
        <w:t xml:space="preserve">18743641330774. doi:10.2174/0118743641330774240912105454. </w:t>
      </w:r>
    </w:p>
    <w:p w14:paraId="403720BF" w14:textId="632C69D8" w:rsidR="00B40DAD" w:rsidRPr="00B40DAD" w:rsidRDefault="00B40DAD" w:rsidP="00B40DAD">
      <w:pPr>
        <w:pStyle w:val="Normal1"/>
        <w:numPr>
          <w:ilvl w:val="0"/>
          <w:numId w:val="3"/>
        </w:numPr>
        <w:spacing w:before="200" w:line="360" w:lineRule="auto"/>
        <w:rPr>
          <w:sz w:val="24"/>
          <w:szCs w:val="24"/>
        </w:rPr>
      </w:pPr>
      <w:proofErr w:type="spellStart"/>
      <w:r w:rsidRPr="00B40DAD">
        <w:rPr>
          <w:sz w:val="24"/>
          <w:szCs w:val="24"/>
        </w:rPr>
        <w:t>Aljammaz</w:t>
      </w:r>
      <w:proofErr w:type="spellEnd"/>
      <w:r w:rsidRPr="00B40DAD">
        <w:rPr>
          <w:sz w:val="24"/>
          <w:szCs w:val="24"/>
        </w:rPr>
        <w:t xml:space="preserve"> HM, </w:t>
      </w:r>
      <w:proofErr w:type="spellStart"/>
      <w:r w:rsidRPr="00B40DAD">
        <w:rPr>
          <w:sz w:val="24"/>
          <w:szCs w:val="24"/>
        </w:rPr>
        <w:t>Aleithan</w:t>
      </w:r>
      <w:proofErr w:type="spellEnd"/>
      <w:r w:rsidRPr="00B40DAD">
        <w:rPr>
          <w:sz w:val="24"/>
          <w:szCs w:val="24"/>
        </w:rPr>
        <w:t xml:space="preserve"> WM, </w:t>
      </w:r>
      <w:proofErr w:type="spellStart"/>
      <w:r w:rsidRPr="00B40DAD">
        <w:rPr>
          <w:sz w:val="24"/>
          <w:szCs w:val="24"/>
        </w:rPr>
        <w:t>Albalawi</w:t>
      </w:r>
      <w:proofErr w:type="spellEnd"/>
      <w:r w:rsidRPr="00B40DAD">
        <w:rPr>
          <w:sz w:val="24"/>
          <w:szCs w:val="24"/>
        </w:rPr>
        <w:t xml:space="preserve"> AM, </w:t>
      </w:r>
      <w:proofErr w:type="spellStart"/>
      <w:r w:rsidRPr="00B40DAD">
        <w:rPr>
          <w:sz w:val="24"/>
          <w:szCs w:val="24"/>
        </w:rPr>
        <w:t>Aljayani</w:t>
      </w:r>
      <w:proofErr w:type="spellEnd"/>
      <w:r w:rsidRPr="00B40DAD">
        <w:rPr>
          <w:sz w:val="24"/>
          <w:szCs w:val="24"/>
        </w:rPr>
        <w:t xml:space="preserve"> RT, </w:t>
      </w:r>
      <w:proofErr w:type="spellStart"/>
      <w:r w:rsidRPr="00B40DAD">
        <w:rPr>
          <w:sz w:val="24"/>
          <w:szCs w:val="24"/>
        </w:rPr>
        <w:t>Aljammaz</w:t>
      </w:r>
      <w:proofErr w:type="spellEnd"/>
      <w:r w:rsidRPr="00B40DAD">
        <w:rPr>
          <w:sz w:val="24"/>
          <w:szCs w:val="24"/>
        </w:rPr>
        <w:t xml:space="preserve"> MM, </w:t>
      </w:r>
      <w:proofErr w:type="spellStart"/>
      <w:r w:rsidRPr="00B40DAD">
        <w:rPr>
          <w:sz w:val="24"/>
          <w:szCs w:val="24"/>
        </w:rPr>
        <w:t>Alenezi</w:t>
      </w:r>
      <w:proofErr w:type="spellEnd"/>
      <w:r w:rsidRPr="00B40DAD">
        <w:rPr>
          <w:sz w:val="24"/>
          <w:szCs w:val="24"/>
        </w:rPr>
        <w:t xml:space="preserve"> </w:t>
      </w:r>
      <w:r w:rsidRPr="00B40DAD">
        <w:rPr>
          <w:sz w:val="24"/>
          <w:szCs w:val="24"/>
        </w:rPr>
        <w:lastRenderedPageBreak/>
        <w:t xml:space="preserve">SH, </w:t>
      </w:r>
      <w:proofErr w:type="spellStart"/>
      <w:r w:rsidRPr="00B40DAD">
        <w:rPr>
          <w:sz w:val="24"/>
          <w:szCs w:val="24"/>
        </w:rPr>
        <w:t>Alreshidi</w:t>
      </w:r>
      <w:proofErr w:type="spellEnd"/>
      <w:r w:rsidRPr="00B40DAD">
        <w:rPr>
          <w:sz w:val="24"/>
          <w:szCs w:val="24"/>
        </w:rPr>
        <w:t xml:space="preserve"> S, Hashem F, Alali NM, </w:t>
      </w:r>
      <w:proofErr w:type="spellStart"/>
      <w:r w:rsidRPr="00B40DAD">
        <w:rPr>
          <w:sz w:val="24"/>
          <w:szCs w:val="24"/>
        </w:rPr>
        <w:t>ALBalawi</w:t>
      </w:r>
      <w:proofErr w:type="spellEnd"/>
      <w:r w:rsidRPr="00B40DAD">
        <w:rPr>
          <w:sz w:val="24"/>
          <w:szCs w:val="24"/>
        </w:rPr>
        <w:t xml:space="preserve"> HB. Prevalence and Risk Factors for Symptomatic Dry Eye Disease Based on </w:t>
      </w:r>
      <w:proofErr w:type="spellStart"/>
      <w:r w:rsidRPr="00B40DAD">
        <w:rPr>
          <w:sz w:val="24"/>
          <w:szCs w:val="24"/>
        </w:rPr>
        <w:t>McMonnies</w:t>
      </w:r>
      <w:proofErr w:type="spellEnd"/>
      <w:r w:rsidRPr="00B40DAD">
        <w:rPr>
          <w:sz w:val="24"/>
          <w:szCs w:val="24"/>
        </w:rPr>
        <w:t xml:space="preserve"> Questionnaire Among Medical Students, Saudi Arabia; a Cross-Sectional Study. </w:t>
      </w:r>
      <w:r w:rsidRPr="00B40DAD">
        <w:rPr>
          <w:i/>
          <w:iCs/>
          <w:sz w:val="24"/>
          <w:szCs w:val="24"/>
        </w:rPr>
        <w:t>International Journal of General Medicine</w:t>
      </w:r>
      <w:r w:rsidRPr="00B40DAD">
        <w:rPr>
          <w:sz w:val="24"/>
          <w:szCs w:val="24"/>
        </w:rPr>
        <w:t xml:space="preserve">. </w:t>
      </w:r>
      <w:proofErr w:type="gramStart"/>
      <w:r w:rsidRPr="00B40DAD">
        <w:rPr>
          <w:sz w:val="24"/>
          <w:szCs w:val="24"/>
        </w:rPr>
        <w:t>2023;16:2441</w:t>
      </w:r>
      <w:proofErr w:type="gramEnd"/>
      <w:r w:rsidRPr="00B40DAD">
        <w:rPr>
          <w:sz w:val="24"/>
          <w:szCs w:val="24"/>
        </w:rPr>
        <w:t xml:space="preserve">-2450. doi:10.2147/IJGM.S410790. </w:t>
      </w:r>
    </w:p>
    <w:p w14:paraId="1DF00CF1" w14:textId="39E55D9C" w:rsidR="00B40DAD" w:rsidRPr="00B40DAD" w:rsidRDefault="00B40DAD" w:rsidP="00B40DAD">
      <w:pPr>
        <w:pStyle w:val="Normal1"/>
        <w:numPr>
          <w:ilvl w:val="0"/>
          <w:numId w:val="3"/>
        </w:numPr>
        <w:spacing w:before="200" w:line="360" w:lineRule="auto"/>
        <w:rPr>
          <w:sz w:val="24"/>
          <w:szCs w:val="24"/>
        </w:rPr>
      </w:pPr>
      <w:r w:rsidRPr="00B40DAD">
        <w:rPr>
          <w:sz w:val="24"/>
          <w:szCs w:val="24"/>
        </w:rPr>
        <w:t>García-Marqués JV, Talens-</w:t>
      </w:r>
      <w:proofErr w:type="spellStart"/>
      <w:r w:rsidRPr="00B40DAD">
        <w:rPr>
          <w:sz w:val="24"/>
          <w:szCs w:val="24"/>
        </w:rPr>
        <w:t>Estarelles</w:t>
      </w:r>
      <w:proofErr w:type="spellEnd"/>
      <w:r w:rsidRPr="00B40DAD">
        <w:rPr>
          <w:sz w:val="24"/>
          <w:szCs w:val="24"/>
        </w:rPr>
        <w:t xml:space="preserve"> C, García-Lázaro S, </w:t>
      </w:r>
      <w:proofErr w:type="spellStart"/>
      <w:r w:rsidRPr="00B40DAD">
        <w:rPr>
          <w:sz w:val="24"/>
          <w:szCs w:val="24"/>
        </w:rPr>
        <w:t>Wolffsohn</w:t>
      </w:r>
      <w:proofErr w:type="spellEnd"/>
      <w:r w:rsidRPr="00B40DAD">
        <w:rPr>
          <w:sz w:val="24"/>
          <w:szCs w:val="24"/>
        </w:rPr>
        <w:t xml:space="preserve"> JS, Cerviño A. Systemic, environmental and lifestyle risk factors for dry eye disease in a Mediterranean Caucasian population. </w:t>
      </w:r>
      <w:r w:rsidRPr="00B40DAD">
        <w:rPr>
          <w:i/>
          <w:iCs/>
          <w:sz w:val="24"/>
          <w:szCs w:val="24"/>
        </w:rPr>
        <w:t>Contact Lens and Anterior Eye</w:t>
      </w:r>
      <w:r w:rsidRPr="00B40DAD">
        <w:rPr>
          <w:sz w:val="24"/>
          <w:szCs w:val="24"/>
        </w:rPr>
        <w:t xml:space="preserve">. 2022;45(5):101539. </w:t>
      </w:r>
      <w:proofErr w:type="gramStart"/>
      <w:r w:rsidRPr="00B40DAD">
        <w:rPr>
          <w:sz w:val="24"/>
          <w:szCs w:val="24"/>
        </w:rPr>
        <w:t>doi:10.1016/j.clae</w:t>
      </w:r>
      <w:proofErr w:type="gramEnd"/>
      <w:r w:rsidRPr="00B40DAD">
        <w:rPr>
          <w:sz w:val="24"/>
          <w:szCs w:val="24"/>
        </w:rPr>
        <w:t xml:space="preserve">.2021.101539. </w:t>
      </w:r>
    </w:p>
    <w:p w14:paraId="1D2D2CF4" w14:textId="2F44F0DB" w:rsidR="00B40DAD" w:rsidRPr="00B40DAD" w:rsidRDefault="00B40DAD" w:rsidP="00B40DAD">
      <w:pPr>
        <w:pStyle w:val="Normal1"/>
        <w:numPr>
          <w:ilvl w:val="0"/>
          <w:numId w:val="3"/>
        </w:numPr>
        <w:spacing w:before="200" w:line="360" w:lineRule="auto"/>
        <w:rPr>
          <w:sz w:val="24"/>
          <w:szCs w:val="24"/>
        </w:rPr>
      </w:pPr>
      <w:r w:rsidRPr="00B40DAD">
        <w:rPr>
          <w:sz w:val="24"/>
          <w:szCs w:val="24"/>
        </w:rPr>
        <w:t>AlQudah A, Al-</w:t>
      </w:r>
      <w:proofErr w:type="spellStart"/>
      <w:r w:rsidRPr="00B40DAD">
        <w:rPr>
          <w:sz w:val="24"/>
          <w:szCs w:val="24"/>
        </w:rPr>
        <w:t>Shatanawi</w:t>
      </w:r>
      <w:proofErr w:type="spellEnd"/>
      <w:r w:rsidRPr="00B40DAD">
        <w:rPr>
          <w:sz w:val="24"/>
          <w:szCs w:val="24"/>
        </w:rPr>
        <w:t xml:space="preserve"> TN, Al-Sawalha N, Al-</w:t>
      </w:r>
      <w:proofErr w:type="spellStart"/>
      <w:r w:rsidRPr="00B40DAD">
        <w:rPr>
          <w:sz w:val="24"/>
          <w:szCs w:val="24"/>
        </w:rPr>
        <w:t>Qudah</w:t>
      </w:r>
      <w:proofErr w:type="spellEnd"/>
      <w:r w:rsidRPr="00B40DAD">
        <w:rPr>
          <w:sz w:val="24"/>
          <w:szCs w:val="24"/>
        </w:rPr>
        <w:t xml:space="preserve"> M, Al-</w:t>
      </w:r>
      <w:proofErr w:type="spellStart"/>
      <w:r w:rsidRPr="00B40DAD">
        <w:rPr>
          <w:sz w:val="24"/>
          <w:szCs w:val="24"/>
        </w:rPr>
        <w:t>Husban</w:t>
      </w:r>
      <w:proofErr w:type="spellEnd"/>
      <w:r w:rsidRPr="00B40DAD">
        <w:rPr>
          <w:sz w:val="24"/>
          <w:szCs w:val="24"/>
        </w:rPr>
        <w:t xml:space="preserve"> A, Al-</w:t>
      </w:r>
      <w:proofErr w:type="spellStart"/>
      <w:r w:rsidRPr="00B40DAD">
        <w:rPr>
          <w:sz w:val="24"/>
          <w:szCs w:val="24"/>
        </w:rPr>
        <w:t>Husban</w:t>
      </w:r>
      <w:proofErr w:type="spellEnd"/>
      <w:r w:rsidRPr="00B40DAD">
        <w:rPr>
          <w:sz w:val="24"/>
          <w:szCs w:val="24"/>
        </w:rPr>
        <w:t xml:space="preserve"> M, Al-</w:t>
      </w:r>
      <w:proofErr w:type="spellStart"/>
      <w:r w:rsidRPr="00B40DAD">
        <w:rPr>
          <w:sz w:val="24"/>
          <w:szCs w:val="24"/>
        </w:rPr>
        <w:t>Zoubi</w:t>
      </w:r>
      <w:proofErr w:type="spellEnd"/>
      <w:r w:rsidRPr="00B40DAD">
        <w:rPr>
          <w:sz w:val="24"/>
          <w:szCs w:val="24"/>
        </w:rPr>
        <w:t xml:space="preserve"> R, Al-</w:t>
      </w:r>
      <w:proofErr w:type="spellStart"/>
      <w:r w:rsidRPr="00B40DAD">
        <w:rPr>
          <w:sz w:val="24"/>
          <w:szCs w:val="24"/>
        </w:rPr>
        <w:t>Zyoud</w:t>
      </w:r>
      <w:proofErr w:type="spellEnd"/>
      <w:r w:rsidRPr="00B40DAD">
        <w:rPr>
          <w:sz w:val="24"/>
          <w:szCs w:val="24"/>
        </w:rPr>
        <w:t xml:space="preserve"> W. Prevalence of Dry Eye Disease Among Medical Students and Its Association with Sleep Habits, Use of Electronic Devices and Caffeine Consumption: A Cross-Sectional Questionnaire. </w:t>
      </w:r>
      <w:r w:rsidRPr="00B40DAD">
        <w:rPr>
          <w:i/>
          <w:iCs/>
          <w:sz w:val="24"/>
          <w:szCs w:val="24"/>
        </w:rPr>
        <w:t>Clinical Ophthalmology</w:t>
      </w:r>
      <w:r w:rsidRPr="00B40DAD">
        <w:rPr>
          <w:sz w:val="24"/>
          <w:szCs w:val="24"/>
        </w:rPr>
        <w:t xml:space="preserve">. </w:t>
      </w:r>
      <w:proofErr w:type="gramStart"/>
      <w:r w:rsidRPr="00B40DAD">
        <w:rPr>
          <w:sz w:val="24"/>
          <w:szCs w:val="24"/>
        </w:rPr>
        <w:t>2023;17:1013</w:t>
      </w:r>
      <w:proofErr w:type="gramEnd"/>
      <w:r w:rsidRPr="00B40DAD">
        <w:rPr>
          <w:sz w:val="24"/>
          <w:szCs w:val="24"/>
        </w:rPr>
        <w:t xml:space="preserve">-1023. doi:10.2147/OPTH.S397022. </w:t>
      </w:r>
    </w:p>
    <w:p w14:paraId="69225758" w14:textId="02D8CA78" w:rsidR="00B40DAD" w:rsidRPr="00B40DAD" w:rsidRDefault="00B40DAD" w:rsidP="00B40DAD">
      <w:pPr>
        <w:pStyle w:val="Normal1"/>
        <w:numPr>
          <w:ilvl w:val="0"/>
          <w:numId w:val="3"/>
        </w:numPr>
        <w:spacing w:before="200" w:line="360" w:lineRule="auto"/>
        <w:rPr>
          <w:sz w:val="24"/>
          <w:szCs w:val="24"/>
        </w:rPr>
      </w:pPr>
      <w:r w:rsidRPr="00B40DAD">
        <w:rPr>
          <w:sz w:val="24"/>
          <w:szCs w:val="24"/>
        </w:rPr>
        <w:t xml:space="preserve">Tiska Y, Akkaya S, </w:t>
      </w:r>
      <w:proofErr w:type="spellStart"/>
      <w:r w:rsidRPr="00B40DAD">
        <w:rPr>
          <w:sz w:val="24"/>
          <w:szCs w:val="24"/>
        </w:rPr>
        <w:t>Düzce</w:t>
      </w:r>
      <w:proofErr w:type="spellEnd"/>
      <w:r w:rsidRPr="00B40DAD">
        <w:rPr>
          <w:sz w:val="24"/>
          <w:szCs w:val="24"/>
        </w:rPr>
        <w:t xml:space="preserve"> K, Özkurt Y, Uysal BS, </w:t>
      </w:r>
      <w:proofErr w:type="spellStart"/>
      <w:r w:rsidRPr="00B40DAD">
        <w:rPr>
          <w:sz w:val="24"/>
          <w:szCs w:val="24"/>
        </w:rPr>
        <w:t>Erdur</w:t>
      </w:r>
      <w:proofErr w:type="spellEnd"/>
      <w:r w:rsidRPr="00B40DAD">
        <w:rPr>
          <w:sz w:val="24"/>
          <w:szCs w:val="24"/>
        </w:rPr>
        <w:t xml:space="preserve"> SK, Özkurt ZG. The impact of lifestyle and ocular factors on dry eye disease in software professionals. </w:t>
      </w:r>
      <w:proofErr w:type="spellStart"/>
      <w:r w:rsidRPr="00B40DAD">
        <w:rPr>
          <w:i/>
          <w:iCs/>
          <w:sz w:val="24"/>
          <w:szCs w:val="24"/>
        </w:rPr>
        <w:t>Arquivos</w:t>
      </w:r>
      <w:proofErr w:type="spellEnd"/>
      <w:r w:rsidRPr="00B40DAD">
        <w:rPr>
          <w:i/>
          <w:iCs/>
          <w:sz w:val="24"/>
          <w:szCs w:val="24"/>
        </w:rPr>
        <w:t xml:space="preserve"> </w:t>
      </w:r>
      <w:proofErr w:type="spellStart"/>
      <w:r w:rsidRPr="00B40DAD">
        <w:rPr>
          <w:i/>
          <w:iCs/>
          <w:sz w:val="24"/>
          <w:szCs w:val="24"/>
        </w:rPr>
        <w:t>Brasileiros</w:t>
      </w:r>
      <w:proofErr w:type="spellEnd"/>
      <w:r w:rsidRPr="00B40DAD">
        <w:rPr>
          <w:i/>
          <w:iCs/>
          <w:sz w:val="24"/>
          <w:szCs w:val="24"/>
        </w:rPr>
        <w:t xml:space="preserve"> de </w:t>
      </w:r>
      <w:proofErr w:type="spellStart"/>
      <w:r w:rsidRPr="00B40DAD">
        <w:rPr>
          <w:i/>
          <w:iCs/>
          <w:sz w:val="24"/>
          <w:szCs w:val="24"/>
        </w:rPr>
        <w:t>Oftalmologia</w:t>
      </w:r>
      <w:proofErr w:type="spellEnd"/>
      <w:r w:rsidRPr="00B40DAD">
        <w:rPr>
          <w:sz w:val="24"/>
          <w:szCs w:val="24"/>
        </w:rPr>
        <w:t>. 2024;87(5</w:t>
      </w:r>
      <w:proofErr w:type="gramStart"/>
      <w:r w:rsidRPr="00B40DAD">
        <w:rPr>
          <w:sz w:val="24"/>
          <w:szCs w:val="24"/>
        </w:rPr>
        <w:t>):e</w:t>
      </w:r>
      <w:proofErr w:type="gramEnd"/>
      <w:r w:rsidRPr="00B40DAD">
        <w:rPr>
          <w:sz w:val="24"/>
          <w:szCs w:val="24"/>
        </w:rPr>
        <w:t xml:space="preserve">2023. doi:10.5935/0004-2749.2023-0037. </w:t>
      </w:r>
    </w:p>
    <w:p w14:paraId="657DA87A" w14:textId="51DC06F4" w:rsidR="00B40DAD" w:rsidRPr="00B40DAD" w:rsidRDefault="00B40DAD" w:rsidP="00B40DAD">
      <w:pPr>
        <w:pStyle w:val="Normal1"/>
        <w:numPr>
          <w:ilvl w:val="0"/>
          <w:numId w:val="3"/>
        </w:numPr>
        <w:spacing w:before="200" w:line="360" w:lineRule="auto"/>
        <w:rPr>
          <w:sz w:val="24"/>
          <w:szCs w:val="24"/>
        </w:rPr>
      </w:pPr>
      <w:r w:rsidRPr="00B40DAD">
        <w:rPr>
          <w:sz w:val="24"/>
          <w:szCs w:val="24"/>
        </w:rPr>
        <w:t xml:space="preserve">Uchino M, Schaumberg DA, </w:t>
      </w:r>
      <w:proofErr w:type="spellStart"/>
      <w:r w:rsidRPr="00B40DAD">
        <w:rPr>
          <w:sz w:val="24"/>
          <w:szCs w:val="24"/>
        </w:rPr>
        <w:t>Dogru</w:t>
      </w:r>
      <w:proofErr w:type="spellEnd"/>
      <w:r w:rsidRPr="00B40DAD">
        <w:rPr>
          <w:sz w:val="24"/>
          <w:szCs w:val="24"/>
        </w:rPr>
        <w:t xml:space="preserve"> M, Uchino Y, </w:t>
      </w:r>
      <w:proofErr w:type="spellStart"/>
      <w:r w:rsidRPr="00B40DAD">
        <w:rPr>
          <w:sz w:val="24"/>
          <w:szCs w:val="24"/>
        </w:rPr>
        <w:t>Fukagawa</w:t>
      </w:r>
      <w:proofErr w:type="spellEnd"/>
      <w:r w:rsidRPr="00B40DAD">
        <w:rPr>
          <w:sz w:val="24"/>
          <w:szCs w:val="24"/>
        </w:rPr>
        <w:t xml:space="preserve"> K, </w:t>
      </w:r>
      <w:proofErr w:type="spellStart"/>
      <w:r w:rsidRPr="00B40DAD">
        <w:rPr>
          <w:sz w:val="24"/>
          <w:szCs w:val="24"/>
        </w:rPr>
        <w:t>Shimmura</w:t>
      </w:r>
      <w:proofErr w:type="spellEnd"/>
      <w:r w:rsidRPr="00B40DAD">
        <w:rPr>
          <w:sz w:val="24"/>
          <w:szCs w:val="24"/>
        </w:rPr>
        <w:t xml:space="preserve"> S, et al. Prevalence of dry eye disease among Japanese visual display terminal users. </w:t>
      </w:r>
      <w:r w:rsidRPr="00B40DAD">
        <w:rPr>
          <w:i/>
          <w:iCs/>
          <w:sz w:val="24"/>
          <w:szCs w:val="24"/>
        </w:rPr>
        <w:t>Ophthalmology</w:t>
      </w:r>
      <w:r w:rsidRPr="00B40DAD">
        <w:rPr>
          <w:sz w:val="24"/>
          <w:szCs w:val="24"/>
        </w:rPr>
        <w:t xml:space="preserve">. 2008;115(11):1982-1988. </w:t>
      </w:r>
      <w:proofErr w:type="gramStart"/>
      <w:r w:rsidRPr="00B40DAD">
        <w:rPr>
          <w:sz w:val="24"/>
          <w:szCs w:val="24"/>
        </w:rPr>
        <w:t>doi:10.1016/j.ophtha</w:t>
      </w:r>
      <w:proofErr w:type="gramEnd"/>
      <w:r w:rsidRPr="00B40DAD">
        <w:rPr>
          <w:sz w:val="24"/>
          <w:szCs w:val="24"/>
        </w:rPr>
        <w:t xml:space="preserve">.2008.06.022. </w:t>
      </w:r>
    </w:p>
    <w:p w14:paraId="103A48F9" w14:textId="0103A2AD" w:rsidR="00B40DAD" w:rsidRPr="00B40DAD" w:rsidRDefault="00B40DAD" w:rsidP="00B40DAD">
      <w:pPr>
        <w:pStyle w:val="Normal1"/>
        <w:numPr>
          <w:ilvl w:val="0"/>
          <w:numId w:val="3"/>
        </w:numPr>
        <w:spacing w:before="200" w:line="360" w:lineRule="auto"/>
        <w:rPr>
          <w:sz w:val="24"/>
          <w:szCs w:val="24"/>
        </w:rPr>
      </w:pPr>
      <w:r w:rsidRPr="00B40DAD">
        <w:rPr>
          <w:sz w:val="24"/>
          <w:szCs w:val="24"/>
        </w:rPr>
        <w:t xml:space="preserve">Stapleton F, Alves M, Bunya VY, Jalbert I, </w:t>
      </w:r>
      <w:proofErr w:type="spellStart"/>
      <w:r w:rsidRPr="00B40DAD">
        <w:rPr>
          <w:sz w:val="24"/>
          <w:szCs w:val="24"/>
        </w:rPr>
        <w:t>Lekhanont</w:t>
      </w:r>
      <w:proofErr w:type="spellEnd"/>
      <w:r w:rsidRPr="00B40DAD">
        <w:rPr>
          <w:sz w:val="24"/>
          <w:szCs w:val="24"/>
        </w:rPr>
        <w:t xml:space="preserve"> K, Malet F, et al. TFOS DEWS II Epidemiology Report. </w:t>
      </w:r>
      <w:r w:rsidRPr="00B40DAD">
        <w:rPr>
          <w:i/>
          <w:iCs/>
          <w:sz w:val="24"/>
          <w:szCs w:val="24"/>
        </w:rPr>
        <w:t>The Ocular Surface</w:t>
      </w:r>
      <w:r w:rsidRPr="00B40DAD">
        <w:rPr>
          <w:sz w:val="24"/>
          <w:szCs w:val="24"/>
        </w:rPr>
        <w:t xml:space="preserve">. 2017;15(3):334-365. </w:t>
      </w:r>
      <w:proofErr w:type="gramStart"/>
      <w:r w:rsidRPr="00B40DAD">
        <w:rPr>
          <w:sz w:val="24"/>
          <w:szCs w:val="24"/>
        </w:rPr>
        <w:t>doi:10.1016/j.jtos</w:t>
      </w:r>
      <w:proofErr w:type="gramEnd"/>
      <w:r w:rsidRPr="00B40DAD">
        <w:rPr>
          <w:sz w:val="24"/>
          <w:szCs w:val="24"/>
        </w:rPr>
        <w:t>.2017.05.003.</w:t>
      </w:r>
    </w:p>
    <w:sectPr w:rsidR="00B40DAD" w:rsidRPr="00B40DAD">
      <w:footerReference w:type="default" r:id="rId10"/>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B50DB" w14:textId="77777777" w:rsidR="00B241F6" w:rsidRDefault="00B241F6">
      <w:r>
        <w:separator/>
      </w:r>
    </w:p>
  </w:endnote>
  <w:endnote w:type="continuationSeparator" w:id="0">
    <w:p w14:paraId="42EE44C1" w14:textId="77777777" w:rsidR="00B241F6" w:rsidRDefault="00B2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1E9DA" w14:textId="77777777" w:rsidR="00B241F6" w:rsidRDefault="00B241F6">
      <w:r>
        <w:separator/>
      </w:r>
    </w:p>
  </w:footnote>
  <w:footnote w:type="continuationSeparator" w:id="0">
    <w:p w14:paraId="0C4C2EB3" w14:textId="77777777" w:rsidR="00B241F6" w:rsidRDefault="00B24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05097"/>
    <w:multiLevelType w:val="hybridMultilevel"/>
    <w:tmpl w:val="CD585490"/>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5385C"/>
    <w:multiLevelType w:val="multilevel"/>
    <w:tmpl w:val="DAD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15476">
    <w:abstractNumId w:val="1"/>
  </w:num>
  <w:num w:numId="2" w16cid:durableId="726074991">
    <w:abstractNumId w:val="2"/>
  </w:num>
  <w:num w:numId="3" w16cid:durableId="80327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F"/>
    <w:rsid w:val="0005528B"/>
    <w:rsid w:val="00071152"/>
    <w:rsid w:val="001045F1"/>
    <w:rsid w:val="001C6F05"/>
    <w:rsid w:val="001E2532"/>
    <w:rsid w:val="001E5858"/>
    <w:rsid w:val="002C13A5"/>
    <w:rsid w:val="002C6477"/>
    <w:rsid w:val="0037184F"/>
    <w:rsid w:val="00393FAD"/>
    <w:rsid w:val="00497A45"/>
    <w:rsid w:val="004B0A6C"/>
    <w:rsid w:val="004E18BE"/>
    <w:rsid w:val="005B2319"/>
    <w:rsid w:val="005E3471"/>
    <w:rsid w:val="00646543"/>
    <w:rsid w:val="006B1375"/>
    <w:rsid w:val="006C3530"/>
    <w:rsid w:val="006E49A5"/>
    <w:rsid w:val="00784CED"/>
    <w:rsid w:val="008875CC"/>
    <w:rsid w:val="008B27F8"/>
    <w:rsid w:val="00A6403A"/>
    <w:rsid w:val="00AA3025"/>
    <w:rsid w:val="00B11D51"/>
    <w:rsid w:val="00B241F6"/>
    <w:rsid w:val="00B40DAD"/>
    <w:rsid w:val="00B504DB"/>
    <w:rsid w:val="00B532FC"/>
    <w:rsid w:val="00B65688"/>
    <w:rsid w:val="00C11B49"/>
    <w:rsid w:val="00C12FA4"/>
    <w:rsid w:val="00CB33DB"/>
    <w:rsid w:val="00CC7FC9"/>
    <w:rsid w:val="00D20F47"/>
    <w:rsid w:val="00D25EFF"/>
    <w:rsid w:val="00DA1405"/>
    <w:rsid w:val="00DB0CE4"/>
    <w:rsid w:val="00E524DC"/>
    <w:rsid w:val="00F928C1"/>
    <w:rsid w:val="00FD2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21C4FC51-8F8D-467C-8A8C-F89820A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88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0F47"/>
    <w:pPr>
      <w:spacing w:after="200"/>
    </w:pPr>
    <w:rPr>
      <w:i/>
      <w:iCs/>
      <w:color w:val="1F497D" w:themeColor="text2"/>
      <w:sz w:val="18"/>
      <w:szCs w:val="18"/>
    </w:rPr>
  </w:style>
  <w:style w:type="character" w:styleId="Emphasis">
    <w:name w:val="Emphasis"/>
    <w:basedOn w:val="DefaultParagraphFont"/>
    <w:uiPriority w:val="20"/>
    <w:qFormat/>
    <w:rsid w:val="00B40D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1074</Words>
  <Characters>6272</Characters>
  <Application>Microsoft Office Word</Application>
  <DocSecurity>0</DocSecurity>
  <Lines>165</Lines>
  <Paragraphs>94</Paragraphs>
  <ScaleCrop>false</ScaleCrop>
  <HeadingPairs>
    <vt:vector size="2" baseType="variant">
      <vt:variant>
        <vt:lpstr>Title</vt:lpstr>
      </vt:variant>
      <vt:variant>
        <vt:i4>1</vt:i4>
      </vt:variant>
    </vt:vector>
  </HeadingPairs>
  <TitlesOfParts>
    <vt:vector size="1" baseType="lpstr">
      <vt:lpstr/>
    </vt:vector>
  </TitlesOfParts>
  <Company>UOR</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Luxshi Karunakaran</cp:lastModifiedBy>
  <cp:revision>12</cp:revision>
  <dcterms:created xsi:type="dcterms:W3CDTF">2025-07-16T13:19:00Z</dcterms:created>
  <dcterms:modified xsi:type="dcterms:W3CDTF">2025-08-20T16:14:00Z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9bb912f2-0a85-4744-8233-d769f9fda0d8</vt:lpwstr>
  </property>
</Properties>
</file>