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B0430" w14:textId="55FF2643" w:rsidR="0037184F" w:rsidRPr="00B66DD4" w:rsidRDefault="00071152" w:rsidP="00B66DD4">
      <w:pPr>
        <w:pStyle w:val="Normal1"/>
        <w:spacing w:before="240" w:after="240" w:line="360" w:lineRule="auto"/>
        <w:jc w:val="center"/>
        <w:rPr>
          <w:b/>
          <w:sz w:val="28"/>
          <w:szCs w:val="28"/>
        </w:rPr>
      </w:pPr>
      <w:r w:rsidRPr="00B66DD4">
        <w:rPr>
          <w:b/>
          <w:sz w:val="28"/>
          <w:szCs w:val="28"/>
        </w:rPr>
        <w:t>Understanding Risk Factors for Dry Eye Disease: A Statistical Analysis of Lifestyle and Health Factors</w:t>
      </w:r>
    </w:p>
    <w:p w14:paraId="395DD3E4" w14:textId="77777777" w:rsidR="00B66DD4" w:rsidRPr="00B66DD4" w:rsidRDefault="00B66DD4" w:rsidP="00B66DD4">
      <w:pPr>
        <w:spacing w:line="360" w:lineRule="auto"/>
        <w:ind w:right="22"/>
        <w:rPr>
          <w:b/>
          <w:sz w:val="28"/>
          <w:szCs w:val="28"/>
        </w:rPr>
      </w:pPr>
      <w:r w:rsidRPr="00B66DD4">
        <w:rPr>
          <w:b/>
          <w:sz w:val="28"/>
          <w:szCs w:val="28"/>
        </w:rPr>
        <w:t>Introduction</w:t>
      </w:r>
    </w:p>
    <w:p w14:paraId="5F96A512" w14:textId="77777777" w:rsidR="00B66DD4" w:rsidRPr="00B66DD4" w:rsidRDefault="00B66DD4" w:rsidP="00B66DD4">
      <w:pPr>
        <w:pStyle w:val="Paragraph"/>
      </w:pPr>
      <w:r w:rsidRPr="00B66DD4">
        <w:t xml:space="preserve">Mental health issues in the workplace have become an urgent issue for organizations globally, affecting employee productivity, retention, and overall firm performance </w:t>
      </w:r>
      <w:r w:rsidRPr="00B66DD4">
        <w:fldChar w:fldCharType="begin"/>
      </w:r>
      <w:r w:rsidRPr="00B66DD4">
        <w:instrText xml:space="preserve"> ADDIN EN.CITE &lt;EndNote&gt;&lt;Cite&gt;&lt;Author&gt;Choi&lt;/Author&gt;&lt;Year&gt;2017&lt;/Year&gt;&lt;RecNum&gt;92&lt;/RecNum&gt;&lt;DisplayText&gt;(Choi et al., 2017)&lt;/DisplayText&gt;&lt;record&gt;&lt;rec-number&gt;92&lt;/rec-number&gt;&lt;foreign-keys&gt;&lt;key app="EN" db-id="5z22a2fwa2frxheratpvvathax5t00ra9d0v" timestamp="1754577624"&gt;92&lt;/key&gt;&lt;/foreign-keys&gt;&lt;ref-type name="Journal Article"&gt;17&lt;/ref-type&gt;&lt;contributors&gt;&lt;authors&gt;&lt;author&gt;Choi, Edward&lt;/author&gt;&lt;author&gt;Schuetz, Andy&lt;/author&gt;&lt;author&gt;Stewart, Walter F&lt;/author&gt;&lt;author&gt;Sun, Jimeng&lt;/author&gt;&lt;/authors&gt;&lt;/contributors&gt;&lt;titles&gt;&lt;title&gt;Using recurrent neural network models for early detection of heart failure onset&lt;/title&gt;&lt;secondary-title&gt;Journal of the American Medical Informatics Association&lt;/secondary-title&gt;&lt;/titles&gt;&lt;periodical&gt;&lt;full-title&gt;Journal of the American Medical Informatics Association&lt;/full-title&gt;&lt;/periodical&gt;&lt;pages&gt;361-370&lt;/pages&gt;&lt;volume&gt;24&lt;/volume&gt;&lt;number&gt;2&lt;/number&gt;&lt;dates&gt;&lt;year&gt;2017&lt;/year&gt;&lt;/dates&gt;&lt;isbn&gt;1067-5027&lt;/isbn&gt;&lt;urls&gt;&lt;/urls&gt;&lt;/record&gt;&lt;/Cite&gt;&lt;/EndNote&gt;</w:instrText>
      </w:r>
      <w:r w:rsidRPr="00B66DD4">
        <w:fldChar w:fldCharType="separate"/>
      </w:r>
      <w:r w:rsidRPr="00B66DD4">
        <w:rPr>
          <w:noProof/>
        </w:rPr>
        <w:t>(Choi et al., 2017)</w:t>
      </w:r>
      <w:r w:rsidRPr="00B66DD4">
        <w:fldChar w:fldCharType="end"/>
      </w:r>
      <w:r w:rsidRPr="00B66DD4">
        <w:t xml:space="preserve">. With depression alone impacting about one in five employees worldwide, the financial and operational costs are significant, including higher absenteeism, turnover, and healthcare expenses. To resolve these issues, this research leverages a synthetic mental health dataset, carefully developed using a deep learning generative model trained on the Depression Survey/Dataset for Analysis, as part of the Playground Series - Season 4, Episode 11 competition. Consisting of anonymized survey answers from more than 140,000 employees, this dataset replicates intricate mental health trends while safeguarding the privacy of participants, making it a valuable tool for developing data-driven solutions in a sensitive field </w:t>
      </w:r>
      <w:r w:rsidRPr="00B66DD4">
        <w:fldChar w:fldCharType="begin"/>
      </w:r>
      <w:r w:rsidRPr="00B66DD4">
        <w:instrText xml:space="preserve"> ADDIN EN.CITE &lt;EndNote&gt;&lt;Cite&gt;&lt;Author&gt;Hampson&lt;/Author&gt;&lt;Year&gt;2020&lt;/Year&gt;&lt;RecNum&gt;93&lt;/RecNum&gt;&lt;DisplayText&gt;(Hampson &amp;amp; Jacob, 2020)&lt;/DisplayText&gt;&lt;record&gt;&lt;rec-number&gt;93&lt;/rec-number&gt;&lt;foreign-keys&gt;&lt;key app="EN" db-id="5z22a2fwa2frxheratpvvathax5t00ra9d0v" timestamp="1754577761"&gt;93&lt;/key&gt;&lt;/foreign-keys&gt;&lt;ref-type name="Journal Article"&gt;17&lt;/ref-type&gt;&lt;contributors&gt;&lt;authors&gt;&lt;author&gt;Hampson, E&lt;/author&gt;&lt;author&gt;Jacob, A&lt;/author&gt;&lt;/authors&gt;&lt;/contributors&gt;&lt;titles&gt;&lt;title&gt;Mental health and employers-Refreshing the case for investment-Deloitte&lt;/title&gt;&lt;secondary-title&gt;Dostupno na: https://www2. deloitte. com/content/dam/Deloitte/uk/Documents/consultancy/del oitte-uk-mental-health-and-employers. pdf stranici pristupljeno&lt;/secondary-title&gt;&lt;/titles&gt;&lt;periodical&gt;&lt;full-title&gt;Dostupno na: https://www2. deloitte. com/content/dam/Deloitte/uk/Documents/consultancy/del oitte-uk-mental-health-and-employers. pdf stranici pristupljeno&lt;/full-title&gt;&lt;/periodical&gt;&lt;pages&gt;2020&lt;/pages&gt;&lt;volume&gt;14&lt;/volume&gt;&lt;dates&gt;&lt;year&gt;2020&lt;/year&gt;&lt;/dates&gt;&lt;urls&gt;&lt;/urls&gt;&lt;/record&gt;&lt;/Cite&gt;&lt;/EndNote&gt;</w:instrText>
      </w:r>
      <w:r w:rsidRPr="00B66DD4">
        <w:fldChar w:fldCharType="separate"/>
      </w:r>
      <w:r w:rsidRPr="00B66DD4">
        <w:rPr>
          <w:noProof/>
        </w:rPr>
        <w:t>(Hampson &amp; Jacob, 2020)</w:t>
      </w:r>
      <w:r w:rsidRPr="00B66DD4">
        <w:fldChar w:fldCharType="end"/>
      </w:r>
      <w:r w:rsidRPr="00B66DD4">
        <w:t>. By leveraging sophisticated data science methodologies, such as feature engineering, machine learning, and model interpretability, this analysis seeks to convert raw survey data into actionable business insights, allowing firms to implement data-driven mental health interventions. The research focuses on ethical AI applications, ensuring privacy protection and compliance with workplace policies, while illustrating the potential for mental health assistance to become a source of strategic differentiation in talent acquisition and operational excellence.</w:t>
      </w:r>
    </w:p>
    <w:p w14:paraId="31479C2D" w14:textId="77777777" w:rsidR="00B66DD4" w:rsidRPr="00B66DD4" w:rsidRDefault="00B66DD4" w:rsidP="00B66DD4">
      <w:pPr>
        <w:pStyle w:val="Paragraph"/>
      </w:pPr>
      <w:r w:rsidRPr="00B66DD4">
        <w:t xml:space="preserve">The analysis is also aimed at generating actionable knowledge on work-based mental health by following a range of priority goals. It seeks to estimate the cost of mental illness on business performance in terms of productivity loss costs, employee turnover, and healthcare expenditure, and thus delivers a strong business case for action. The study also focuses on identifying high-impact work factors most closely associated with mental health decline for intervention opportunities. </w:t>
      </w:r>
    </w:p>
    <w:p w14:paraId="233F2EC2" w14:textId="77777777" w:rsidR="00B66DD4" w:rsidRPr="00B66DD4" w:rsidRDefault="00B66DD4" w:rsidP="00B66DD4">
      <w:pPr>
        <w:pStyle w:val="Paragraph"/>
        <w:rPr>
          <w:b/>
          <w:bCs/>
          <w:sz w:val="28"/>
          <w:szCs w:val="28"/>
        </w:rPr>
      </w:pPr>
      <w:r w:rsidRPr="00B66DD4">
        <w:rPr>
          <w:b/>
          <w:bCs/>
          <w:sz w:val="28"/>
          <w:szCs w:val="28"/>
        </w:rPr>
        <w:t>Literature Review</w:t>
      </w:r>
    </w:p>
    <w:p w14:paraId="49F19C19" w14:textId="77777777" w:rsidR="00B66DD4" w:rsidRPr="00B66DD4" w:rsidRDefault="00B66DD4" w:rsidP="00B66DD4">
      <w:pPr>
        <w:pStyle w:val="Paragraph"/>
      </w:pPr>
      <w:r w:rsidRPr="00B66DD4">
        <w:t xml:space="preserve">The connection between mental health and job performance has been extensively studied, emphasizing the growing need for evidence-based solutions for employee well-being. According to the World Health Organization (2020), depression and anxiety result in the loss of $1 trillion in </w:t>
      </w:r>
      <w:r w:rsidRPr="00B66DD4">
        <w:lastRenderedPageBreak/>
        <w:t xml:space="preserve">economic productivity globally every year, which highlights the necessity for organizational action. Studies by </w:t>
      </w:r>
      <w:r w:rsidRPr="00B66DD4">
        <w:fldChar w:fldCharType="begin"/>
      </w:r>
      <w:r w:rsidRPr="00B66DD4">
        <w:instrText xml:space="preserve"> ADDIN EN.CITE &lt;EndNote&gt;&lt;Cite&gt;&lt;Author&gt;Hampson&lt;/Author&gt;&lt;Year&gt;2020&lt;/Year&gt;&lt;RecNum&gt;93&lt;/RecNum&gt;&lt;DisplayText&gt;(Hampson &amp;amp; Jacob, 2020)&lt;/DisplayText&gt;&lt;record&gt;&lt;rec-number&gt;93&lt;/rec-number&gt;&lt;foreign-keys&gt;&lt;key app="EN" db-id="5z22a2fwa2frxheratpvvathax5t00ra9d0v" timestamp="1754577761"&gt;93&lt;/key&gt;&lt;/foreign-keys&gt;&lt;ref-type name="Journal Article"&gt;17&lt;/ref-type&gt;&lt;contributors&gt;&lt;authors&gt;&lt;author&gt;Hampson, E&lt;/author&gt;&lt;author&gt;Jacob, A&lt;/author&gt;&lt;/authors&gt;&lt;/contributors&gt;&lt;titles&gt;&lt;title&gt;Mental health and employers-Refreshing the case for investment-Deloitte&lt;/title&gt;&lt;secondary-title&gt;Dostupno na: https://www2. deloitte. com/content/dam/Deloitte/uk/Documents/consultancy/del oitte-uk-mental-health-and-employers. pdf stranici pristupljeno&lt;/secondary-title&gt;&lt;/titles&gt;&lt;periodical&gt;&lt;full-title&gt;Dostupno na: https://www2. deloitte. com/content/dam/Deloitte/uk/Documents/consultancy/del oitte-uk-mental-health-and-employers. pdf stranici pristupljeno&lt;/full-title&gt;&lt;/periodical&gt;&lt;pages&gt;2020&lt;/pages&gt;&lt;volume&gt;14&lt;/volume&gt;&lt;dates&gt;&lt;year&gt;2020&lt;/year&gt;&lt;/dates&gt;&lt;urls&gt;&lt;/urls&gt;&lt;/record&gt;&lt;/Cite&gt;&lt;/EndNote&gt;</w:instrText>
      </w:r>
      <w:r w:rsidRPr="00B66DD4">
        <w:fldChar w:fldCharType="separate"/>
      </w:r>
      <w:r w:rsidRPr="00B66DD4">
        <w:rPr>
          <w:noProof/>
        </w:rPr>
        <w:t>(Hampson &amp; Jacob, 2020)</w:t>
      </w:r>
      <w:r w:rsidRPr="00B66DD4">
        <w:fldChar w:fldCharType="end"/>
      </w:r>
      <w:r w:rsidRPr="00B66DD4">
        <w:t xml:space="preserve"> estimate that mental illness is responsible for significant absenteeism and presenteeism, which costs the United States alone $50 billion annually. The study </w:t>
      </w:r>
      <w:r w:rsidRPr="00B66DD4">
        <w:fldChar w:fldCharType="begin"/>
      </w:r>
      <w:r w:rsidRPr="00B66DD4">
        <w:instrText xml:space="preserve"> ADDIN EN.CITE &lt;EndNote&gt;&lt;Cite&gt;&lt;Author&gt;Choi&lt;/Author&gt;&lt;Year&gt;2017&lt;/Year&gt;&lt;RecNum&gt;92&lt;/RecNum&gt;&lt;DisplayText&gt;(Choi et al., 2017)&lt;/DisplayText&gt;&lt;record&gt;&lt;rec-number&gt;92&lt;/rec-number&gt;&lt;foreign-keys&gt;&lt;key app="EN" db-id="5z22a2fwa2frxheratpvvathax5t00ra9d0v" timestamp="1754577624"&gt;92&lt;/key&gt;&lt;/foreign-keys&gt;&lt;ref-type name="Journal Article"&gt;17&lt;/ref-type&gt;&lt;contributors&gt;&lt;authors&gt;&lt;author&gt;Choi, Edward&lt;/author&gt;&lt;author&gt;Schuetz, Andy&lt;/author&gt;&lt;author&gt;Stewart, Walter F&lt;/author&gt;&lt;author&gt;Sun, Jimeng&lt;/author&gt;&lt;/authors&gt;&lt;/contributors&gt;&lt;titles&gt;&lt;title&gt;Using recurrent neural network models for early detection of heart failure onset&lt;/title&gt;&lt;secondary-title&gt;Journal of the American Medical Informatics Association&lt;/secondary-title&gt;&lt;/titles&gt;&lt;periodical&gt;&lt;full-title&gt;Journal of the American Medical Informatics Association&lt;/full-title&gt;&lt;/periodical&gt;&lt;pages&gt;361-370&lt;/pages&gt;&lt;volume&gt;24&lt;/volume&gt;&lt;number&gt;2&lt;/number&gt;&lt;dates&gt;&lt;year&gt;2017&lt;/year&gt;&lt;/dates&gt;&lt;isbn&gt;1067-5027&lt;/isbn&gt;&lt;urls&gt;&lt;/urls&gt;&lt;/record&gt;&lt;/Cite&gt;&lt;/EndNote&gt;</w:instrText>
      </w:r>
      <w:r w:rsidRPr="00B66DD4">
        <w:fldChar w:fldCharType="separate"/>
      </w:r>
      <w:r w:rsidRPr="00B66DD4">
        <w:rPr>
          <w:noProof/>
        </w:rPr>
        <w:t>(Choi et al., 2017)</w:t>
      </w:r>
      <w:r w:rsidRPr="00B66DD4">
        <w:fldChar w:fldCharType="end"/>
      </w:r>
      <w:r w:rsidRPr="00B66DD4">
        <w:t xml:space="preserve"> identifies the role of work stressors, such as long working hours and poor work-life balance, in exacerbating mental illness, particularly among younger employees. Recent advances in data science have enabled more nuanced analyses of mental health data. For instance,</w:t>
      </w:r>
      <w:r w:rsidRPr="00B66DD4">
        <w:fldChar w:fldCharType="begin"/>
      </w:r>
      <w:r w:rsidRPr="00B66DD4">
        <w:instrText xml:space="preserve"> ADDIN EN.CITE &lt;EndNote&gt;&lt;Cite&gt;&lt;Author&gt;Goetzel&lt;/Author&gt;&lt;Year&gt;2018&lt;/Year&gt;&lt;RecNum&gt;94&lt;/RecNum&gt;&lt;DisplayText&gt;(Goetzel et al., 2018)&lt;/DisplayText&gt;&lt;record&gt;&lt;rec-number&gt;94&lt;/rec-number&gt;&lt;foreign-keys&gt;&lt;key app="EN" db-id="5z22a2fwa2frxheratpvvathax5t00ra9d0v" timestamp="1754577885"&gt;94&lt;/key&gt;&lt;/foreign-keys&gt;&lt;ref-type name="Journal Article"&gt;17&lt;/ref-type&gt;&lt;contributors&gt;&lt;authors&gt;&lt;author&gt;Goetzel, Ron Z&lt;/author&gt;&lt;author&gt;Roemer, Enid Chung&lt;/author&gt;&lt;author&gt;Holingue, Calliope&lt;/author&gt;&lt;author&gt;Fallin, M Daniele&lt;/author&gt;&lt;author&gt;McCleary, Katherine&lt;/author&gt;&lt;author&gt;Eaton, William&lt;/author&gt;&lt;author&gt;Agnew, Jacqueline&lt;/author&gt;&lt;author&gt;Azocar, Francisca&lt;/author&gt;&lt;author&gt;Ballard, David&lt;/author&gt;&lt;author&gt;Bartlett, John&lt;/author&gt;&lt;/authors&gt;&lt;/contributors&gt;&lt;titles&gt;&lt;title&gt;Mental health in the workplace: a call to action proceedings from the Mental Health in the Workplace—Public Health Summit&lt;/title&gt;&lt;secondary-title&gt;Journal of occupational and environmental medicine&lt;/secondary-title&gt;&lt;/titles&gt;&lt;periodical&gt;&lt;full-title&gt;Journal of occupational and environmental medicine&lt;/full-title&gt;&lt;/periodical&gt;&lt;pages&gt;322-330&lt;/pages&gt;&lt;volume&gt;60&lt;/volume&gt;&lt;number&gt;4&lt;/number&gt;&lt;dates&gt;&lt;year&gt;2018&lt;/year&gt;&lt;/dates&gt;&lt;isbn&gt;1076-2752&lt;/isbn&gt;&lt;urls&gt;&lt;/urls&gt;&lt;/record&gt;&lt;/Cite&gt;&lt;/EndNote&gt;</w:instrText>
      </w:r>
      <w:r w:rsidRPr="00B66DD4">
        <w:fldChar w:fldCharType="separate"/>
      </w:r>
      <w:r w:rsidRPr="00B66DD4">
        <w:rPr>
          <w:noProof/>
        </w:rPr>
        <w:t>(Goetzel et al., 2018)</w:t>
      </w:r>
      <w:r w:rsidRPr="00B66DD4">
        <w:fldChar w:fldCharType="end"/>
      </w:r>
      <w:r w:rsidRPr="00B66DD4">
        <w:t xml:space="preserve"> demonstrated the efficacy of machine learning models for depression risk prediction from survey-based features with accuracies exceeding 80%. Ethical considerations regarding data privacy and model bias remain, nevertheless, paramount, as argued by </w:t>
      </w:r>
      <w:r w:rsidRPr="00B66DD4">
        <w:fldChar w:fldCharType="begin"/>
      </w:r>
      <w:r w:rsidRPr="00B66DD4">
        <w:instrText xml:space="preserve"> ADDIN EN.CITE &lt;EndNote&gt;&lt;Cite&gt;&lt;Author&gt;Goodfellow&lt;/Author&gt;&lt;Year&gt;2014&lt;/Year&gt;&lt;RecNum&gt;95&lt;/RecNum&gt;&lt;DisplayText&gt;(Goodfellow et al., 2014)&lt;/DisplayText&gt;&lt;record&gt;&lt;rec-number&gt;95&lt;/rec-number&gt;&lt;foreign-keys&gt;&lt;key app="EN" db-id="5z22a2fwa2frxheratpvvathax5t00ra9d0v" timestamp="1754577970"&gt;95&lt;/key&gt;&lt;/foreign-keys&gt;&lt;ref-type name="Journal Article"&gt;17&lt;/ref-type&gt;&lt;contributors&gt;&lt;authors&gt;&lt;author&gt;Goodfellow, Ian J&lt;/author&gt;&lt;author&gt;Pouget-Abadie, Jean&lt;/author&gt;&lt;author&gt;Mirza, Mehdi&lt;/author&gt;&lt;author&gt;Xu, Bing&lt;/author&gt;&lt;author&gt;Warde-Farley, David&lt;/author&gt;&lt;author&gt;Ozair, Sherjil&lt;/author&gt;&lt;author&gt;Courville, Aaron&lt;/author&gt;&lt;author&gt;Bengio, Yoshua&lt;/author&gt;&lt;/authors&gt;&lt;/contributors&gt;&lt;titles&gt;&lt;title&gt;Generative adversarial nets&lt;/title&gt;&lt;secondary-title&gt;Advances in neural information processing systems&lt;/secondary-title&gt;&lt;/titles&gt;&lt;periodical&gt;&lt;full-title&gt;Advances in neural information processing systems&lt;/full-title&gt;&lt;/periodical&gt;&lt;volume&gt;27&lt;/volume&gt;&lt;dates&gt;&lt;year&gt;2014&lt;/year&gt;&lt;/dates&gt;&lt;urls&gt;&lt;/urls&gt;&lt;/record&gt;&lt;/Cite&gt;&lt;/EndNote&gt;</w:instrText>
      </w:r>
      <w:r w:rsidRPr="00B66DD4">
        <w:fldChar w:fldCharType="separate"/>
      </w:r>
      <w:r w:rsidRPr="00B66DD4">
        <w:rPr>
          <w:noProof/>
        </w:rPr>
        <w:t>(Goodfellow et al., 2014)</w:t>
      </w:r>
      <w:r w:rsidRPr="00B66DD4">
        <w:fldChar w:fldCharType="end"/>
      </w:r>
      <w:r w:rsidRPr="00B66DD4">
        <w:t xml:space="preserve">, who advocate for the application of interpretable models and compliance with regulations like GDPR. Synthetic data sets, like the ones employed in this study, remove these concerns while preserving anonymity and retaining realistic trends, as supported by generative model studies carried out by </w:t>
      </w:r>
      <w:r w:rsidRPr="00B66DD4">
        <w:fldChar w:fldCharType="begin"/>
      </w:r>
      <w:r w:rsidRPr="00B66DD4">
        <w:instrText xml:space="preserve"> ADDIN EN.CITE &lt;EndNote&gt;&lt;Cite&gt;&lt;Author&gt;Goodfellow&lt;/Author&gt;&lt;Year&gt;2014&lt;/Year&gt;&lt;RecNum&gt;95&lt;/RecNum&gt;&lt;DisplayText&gt;(Goodfellow et al., 2014)&lt;/DisplayText&gt;&lt;record&gt;&lt;rec-number&gt;95&lt;/rec-number&gt;&lt;foreign-keys&gt;&lt;key app="EN" db-id="5z22a2fwa2frxheratpvvathax5t00ra9d0v" timestamp="1754577970"&gt;95&lt;/key&gt;&lt;/foreign-keys&gt;&lt;ref-type name="Journal Article"&gt;17&lt;/ref-type&gt;&lt;contributors&gt;&lt;authors&gt;&lt;author&gt;Goodfellow, Ian J&lt;/author&gt;&lt;author&gt;Pouget-Abadie, Jean&lt;/author&gt;&lt;author&gt;Mirza, Mehdi&lt;/author&gt;&lt;author&gt;Xu, Bing&lt;/author&gt;&lt;author&gt;Warde-Farley, David&lt;/author&gt;&lt;author&gt;Ozair, Sherjil&lt;/author&gt;&lt;author&gt;Courville, Aaron&lt;/author&gt;&lt;author&gt;Bengio, Yoshua&lt;/author&gt;&lt;/authors&gt;&lt;/contributors&gt;&lt;titles&gt;&lt;title&gt;Generative adversarial nets&lt;/title&gt;&lt;secondary-title&gt;Advances in neural information processing systems&lt;/secondary-title&gt;&lt;/titles&gt;&lt;periodical&gt;&lt;full-title&gt;Advances in neural information processing systems&lt;/full-title&gt;&lt;/periodical&gt;&lt;volume&gt;27&lt;/volume&gt;&lt;dates&gt;&lt;year&gt;2014&lt;/year&gt;&lt;/dates&gt;&lt;urls&gt;&lt;/urls&gt;&lt;/record&gt;&lt;/Cite&gt;&lt;/EndNote&gt;</w:instrText>
      </w:r>
      <w:r w:rsidRPr="00B66DD4">
        <w:fldChar w:fldCharType="separate"/>
      </w:r>
      <w:r w:rsidRPr="00B66DD4">
        <w:rPr>
          <w:noProof/>
        </w:rPr>
        <w:t>(Goodfellow et al., 2014)</w:t>
      </w:r>
      <w:r w:rsidRPr="00B66DD4">
        <w:fldChar w:fldCharType="end"/>
      </w:r>
      <w:r w:rsidRPr="00B66DD4">
        <w:t xml:space="preserve">. In addition, </w:t>
      </w:r>
      <w:r w:rsidRPr="00B66DD4">
        <w:fldChar w:fldCharType="begin"/>
      </w:r>
      <w:r w:rsidRPr="00B66DD4">
        <w:instrText xml:space="preserve"> ADDIN EN.CITE &lt;EndNote&gt;&lt;Cite&gt;&lt;Author&gt;Kessler&lt;/Author&gt;&lt;Year&gt;2006&lt;/Year&gt;&lt;RecNum&gt;96&lt;/RecNum&gt;&lt;DisplayText&gt;(Kessler et al., 2006)&lt;/DisplayText&gt;&lt;record&gt;&lt;rec-number&gt;96&lt;/rec-number&gt;&lt;foreign-keys&gt;&lt;key app="EN" db-id="5z22a2fwa2frxheratpvvathax5t00ra9d0v" timestamp="1754578023"&gt;96&lt;/key&gt;&lt;/foreign-keys&gt;&lt;ref-type name="Journal Article"&gt;17&lt;/ref-type&gt;&lt;contributors&gt;&lt;authors&gt;&lt;author&gt;Kessler, Ronald C&lt;/author&gt;&lt;author&gt;Akiskal, Hagop S&lt;/author&gt;&lt;author&gt;Ames, Minnie&lt;/author&gt;&lt;author&gt;Birnbaum, Howard&lt;/author&gt;&lt;author&gt;Greenberg, Paul&lt;/author&gt;&lt;author&gt;. A, Robert M&lt;/author&gt;&lt;author&gt;Jin, Robert&lt;/author&gt;&lt;author&gt;Merikangas, Kathleen R&lt;/author&gt;&lt;author&gt;Simon, Gregory E&lt;/author&gt;&lt;author&gt;Wang, Philip S&lt;/author&gt;&lt;/authors&gt;&lt;/contributors&gt;&lt;titles&gt;&lt;title&gt;Prevalence and effects of mood disorders on work performance in a nationally representative sample of US workers&lt;/title&gt;&lt;secondary-title&gt;American journal of psychiatry&lt;/secondary-title&gt;&lt;/titles&gt;&lt;periodical&gt;&lt;full-title&gt;American journal of psychiatry&lt;/full-title&gt;&lt;/periodical&gt;&lt;pages&gt;1561-1568&lt;/pages&gt;&lt;volume&gt;163&lt;/volume&gt;&lt;number&gt;9&lt;/number&gt;&lt;dates&gt;&lt;year&gt;2006&lt;/year&gt;&lt;/dates&gt;&lt;isbn&gt;0002-953X&lt;/isbn&gt;&lt;urls&gt;&lt;/urls&gt;&lt;/record&gt;&lt;/Cite&gt;&lt;/EndNote&gt;</w:instrText>
      </w:r>
      <w:r w:rsidRPr="00B66DD4">
        <w:fldChar w:fldCharType="separate"/>
      </w:r>
      <w:r w:rsidRPr="00B66DD4">
        <w:rPr>
          <w:noProof/>
        </w:rPr>
        <w:t>(Kessler et al., 2006)</w:t>
      </w:r>
      <w:r w:rsidRPr="00B66DD4">
        <w:fldChar w:fldCharType="end"/>
      </w:r>
      <w:r w:rsidRPr="00B66DD4">
        <w:t xml:space="preserve"> highlight the ROI potential of workplace wellness programs, spanning 1.5 to 3.0 times the return on every dollar invested, particularly when interventions are targeted at high-risk populations. Despite these advancements, there are still gaps in using data science for workplace mental health on a large scale. This is especially true when it comes to combining predictive analytics with practical business strategies. This study builds on previous work by utilizing a large synthetic dataset to examine both predictive modeling and the financial and strategic impacts of mental health interventions. It aims to connect data science with decisions made within organizations.</w:t>
      </w:r>
    </w:p>
    <w:p w14:paraId="54FE39D5" w14:textId="77777777" w:rsidR="00B66DD4" w:rsidRPr="00B66DD4" w:rsidRDefault="00B66DD4" w:rsidP="00B66DD4">
      <w:pPr>
        <w:spacing w:line="360" w:lineRule="auto"/>
        <w:ind w:left="-5" w:right="22" w:hanging="10"/>
        <w:rPr>
          <w:b/>
          <w:sz w:val="28"/>
          <w:szCs w:val="28"/>
        </w:rPr>
      </w:pPr>
      <w:r w:rsidRPr="00B66DD4">
        <w:rPr>
          <w:b/>
          <w:sz w:val="28"/>
          <w:szCs w:val="28"/>
        </w:rPr>
        <w:t>Methodology</w:t>
      </w:r>
    </w:p>
    <w:p w14:paraId="1B629634" w14:textId="634B4659" w:rsidR="00B66DD4" w:rsidRPr="00B66DD4" w:rsidRDefault="00B66DD4" w:rsidP="00B66DD4">
      <w:pPr>
        <w:pStyle w:val="Paragraph"/>
      </w:pPr>
      <w:r w:rsidRPr="00B66DD4">
        <w:t xml:space="preserve">The analysis uses a synthetic mental health dataset that includes 140,700 training records and 93,800 testing records. This dataset was created with a deep learning model to simulate realistic mental health survey responses while keeping participant identities private. Data preprocessing involved loading the dataset with Pandas. It also addressed missing values, such as 80.17% in CGPA and 26.03% in Profession, using median imputation for numerical features and mode or 'Unknown' for categorical features. Categorical variables were encoded with </w:t>
      </w:r>
      <w:proofErr w:type="spellStart"/>
      <w:r w:rsidRPr="00B66DD4">
        <w:t>LabelEncoder</w:t>
      </w:r>
      <w:proofErr w:type="spellEnd"/>
      <w:r w:rsidRPr="00B66DD4">
        <w:t xml:space="preserve">, and numerical features were standardized with </w:t>
      </w:r>
      <w:proofErr w:type="spellStart"/>
      <w:r w:rsidRPr="00B66DD4">
        <w:t>StandardScaler</w:t>
      </w:r>
      <w:proofErr w:type="spellEnd"/>
      <w:r w:rsidRPr="00B66DD4">
        <w:t xml:space="preserve">. In feature engineering, a composite Wellness Score and binary risk indicators were created, such as High Work Hours for those working more than 10 hours a day. A </w:t>
      </w:r>
      <w:proofErr w:type="spellStart"/>
      <w:r w:rsidRPr="00B66DD4">
        <w:t>RandomForestClassifier</w:t>
      </w:r>
      <w:proofErr w:type="spellEnd"/>
      <w:r w:rsidRPr="00B66DD4">
        <w:t xml:space="preserve"> with 100 trees and a fine-tuned </w:t>
      </w:r>
      <w:proofErr w:type="spellStart"/>
      <w:r w:rsidRPr="00B66DD4">
        <w:t>max_depth</w:t>
      </w:r>
      <w:proofErr w:type="spellEnd"/>
      <w:r w:rsidRPr="00B66DD4">
        <w:t xml:space="preserve"> was used for binary classification, labeling instances as 'e' or 'p'. This approach achieved an accuracy of 91.54%. Additionally, K-Means clustering and PCA were applied for employee segmentation and dimensionality reduction. The ROI analysis modeled three intervention </w:t>
      </w:r>
      <w:r w:rsidRPr="00B66DD4">
        <w:lastRenderedPageBreak/>
        <w:t xml:space="preserve">scenarios: Conservative at 20% improvement, Moderate at 35%, and Optimistic at 50%. It estimated costs at $946 million annually and returns between 194% and 320% over five years. Ethical considerations focused on preserving privacy and ensuring transparency in the model, along with recommendations for professional validation. Figure 1 shows the detail diagram of Mental </w:t>
      </w:r>
      <w:r>
        <w:rPr>
          <w:noProof/>
        </w:rPr>
        <mc:AlternateContent>
          <mc:Choice Requires="wps">
            <w:drawing>
              <wp:anchor distT="0" distB="0" distL="114300" distR="114300" simplePos="0" relativeHeight="251662336" behindDoc="0" locked="0" layoutInCell="1" allowOverlap="1" wp14:anchorId="5C2B626B" wp14:editId="19C3CC8E">
                <wp:simplePos x="0" y="0"/>
                <wp:positionH relativeFrom="margin">
                  <wp:align>center</wp:align>
                </wp:positionH>
                <wp:positionV relativeFrom="paragraph">
                  <wp:posOffset>2757170</wp:posOffset>
                </wp:positionV>
                <wp:extent cx="5274310" cy="635"/>
                <wp:effectExtent l="0" t="0" r="2540" b="0"/>
                <wp:wrapSquare wrapText="bothSides"/>
                <wp:docPr id="1136504826" name="Text Box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3FBCDF34" w14:textId="2B762104" w:rsidR="00B66DD4" w:rsidRPr="00B66DD4" w:rsidRDefault="00B66DD4" w:rsidP="00B66DD4">
                            <w:pPr>
                              <w:pStyle w:val="Caption"/>
                              <w:jc w:val="center"/>
                              <w:rPr>
                                <w:i w:val="0"/>
                                <w:iCs w:val="0"/>
                                <w:color w:val="000000" w:themeColor="text1"/>
                                <w:sz w:val="24"/>
                                <w:szCs w:val="24"/>
                              </w:rPr>
                            </w:pPr>
                            <w:r w:rsidRPr="00B66DD4">
                              <w:rPr>
                                <w:i w:val="0"/>
                                <w:iCs w:val="0"/>
                                <w:color w:val="000000" w:themeColor="text1"/>
                                <w:sz w:val="20"/>
                                <w:szCs w:val="20"/>
                              </w:rPr>
                              <w:t xml:space="preserve">Figure </w:t>
                            </w:r>
                            <w:r w:rsidRPr="00B66DD4">
                              <w:rPr>
                                <w:i w:val="0"/>
                                <w:iCs w:val="0"/>
                                <w:color w:val="000000" w:themeColor="text1"/>
                                <w:sz w:val="20"/>
                                <w:szCs w:val="20"/>
                              </w:rPr>
                              <w:fldChar w:fldCharType="begin"/>
                            </w:r>
                            <w:r w:rsidRPr="00B66DD4">
                              <w:rPr>
                                <w:i w:val="0"/>
                                <w:iCs w:val="0"/>
                                <w:color w:val="000000" w:themeColor="text1"/>
                                <w:sz w:val="20"/>
                                <w:szCs w:val="20"/>
                              </w:rPr>
                              <w:instrText xml:space="preserve"> SEQ Figure \* ARABIC </w:instrText>
                            </w:r>
                            <w:r w:rsidRPr="00B66DD4">
                              <w:rPr>
                                <w:i w:val="0"/>
                                <w:iCs w:val="0"/>
                                <w:color w:val="000000" w:themeColor="text1"/>
                                <w:sz w:val="20"/>
                                <w:szCs w:val="20"/>
                              </w:rPr>
                              <w:fldChar w:fldCharType="separate"/>
                            </w:r>
                            <w:r w:rsidRPr="00B66DD4">
                              <w:rPr>
                                <w:i w:val="0"/>
                                <w:iCs w:val="0"/>
                                <w:noProof/>
                                <w:color w:val="000000" w:themeColor="text1"/>
                                <w:sz w:val="20"/>
                                <w:szCs w:val="20"/>
                              </w:rPr>
                              <w:t>1</w:t>
                            </w:r>
                            <w:r w:rsidRPr="00B66DD4">
                              <w:rPr>
                                <w:i w:val="0"/>
                                <w:iCs w:val="0"/>
                                <w:color w:val="000000" w:themeColor="text1"/>
                                <w:sz w:val="20"/>
                                <w:szCs w:val="20"/>
                              </w:rPr>
                              <w:fldChar w:fldCharType="end"/>
                            </w:r>
                            <w:r w:rsidRPr="00B66DD4">
                              <w:rPr>
                                <w:i w:val="0"/>
                                <w:iCs w:val="0"/>
                                <w:color w:val="000000" w:themeColor="text1"/>
                                <w:sz w:val="20"/>
                                <w:szCs w:val="20"/>
                              </w:rPr>
                              <w:t>:  End to End Workflow for Mental Health Risk Detection Using Machine Learning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2B626B" id="_x0000_t202" coordsize="21600,21600" o:spt="202" path="m,l,21600r21600,l21600,xe">
                <v:stroke joinstyle="miter"/>
                <v:path gradientshapeok="t" o:connecttype="rect"/>
              </v:shapetype>
              <v:shape id="Text Box 1" o:spid="_x0000_s1026" type="#_x0000_t202" style="position:absolute;left:0;text-align:left;margin-left:0;margin-top:217.1pt;width:415.3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" stroked="f">
                <v:textbox style="mso-fit-shape-to-text:t" inset="0,0,0,0">
                  <w:txbxContent>
                    <w:p w14:paraId="3FBCDF34" w14:textId="2B762104" w:rsidR="00B66DD4" w:rsidRPr="00B66DD4" w:rsidRDefault="00B66DD4" w:rsidP="00B66DD4">
                      <w:pPr>
                        <w:pStyle w:val="Caption"/>
                        <w:jc w:val="center"/>
                        <w:rPr>
                          <w:i w:val="0"/>
                          <w:iCs w:val="0"/>
                          <w:color w:val="000000" w:themeColor="text1"/>
                          <w:sz w:val="24"/>
                          <w:szCs w:val="24"/>
                        </w:rPr>
                      </w:pPr>
                      <w:r w:rsidRPr="00B66DD4">
                        <w:rPr>
                          <w:i w:val="0"/>
                          <w:iCs w:val="0"/>
                          <w:color w:val="000000" w:themeColor="text1"/>
                          <w:sz w:val="20"/>
                          <w:szCs w:val="20"/>
                        </w:rPr>
                        <w:t xml:space="preserve">Figure </w:t>
                      </w:r>
                      <w:r w:rsidRPr="00B66DD4">
                        <w:rPr>
                          <w:i w:val="0"/>
                          <w:iCs w:val="0"/>
                          <w:color w:val="000000" w:themeColor="text1"/>
                          <w:sz w:val="20"/>
                          <w:szCs w:val="20"/>
                        </w:rPr>
                        <w:fldChar w:fldCharType="begin"/>
                      </w:r>
                      <w:r w:rsidRPr="00B66DD4">
                        <w:rPr>
                          <w:i w:val="0"/>
                          <w:iCs w:val="0"/>
                          <w:color w:val="000000" w:themeColor="text1"/>
                          <w:sz w:val="20"/>
                          <w:szCs w:val="20"/>
                        </w:rPr>
                        <w:instrText xml:space="preserve"> SEQ Figure \* ARABIC </w:instrText>
                      </w:r>
                      <w:r w:rsidRPr="00B66DD4">
                        <w:rPr>
                          <w:i w:val="0"/>
                          <w:iCs w:val="0"/>
                          <w:color w:val="000000" w:themeColor="text1"/>
                          <w:sz w:val="20"/>
                          <w:szCs w:val="20"/>
                        </w:rPr>
                        <w:fldChar w:fldCharType="separate"/>
                      </w:r>
                      <w:r w:rsidRPr="00B66DD4">
                        <w:rPr>
                          <w:i w:val="0"/>
                          <w:iCs w:val="0"/>
                          <w:noProof/>
                          <w:color w:val="000000" w:themeColor="text1"/>
                          <w:sz w:val="20"/>
                          <w:szCs w:val="20"/>
                        </w:rPr>
                        <w:t>1</w:t>
                      </w:r>
                      <w:r w:rsidRPr="00B66DD4">
                        <w:rPr>
                          <w:i w:val="0"/>
                          <w:iCs w:val="0"/>
                          <w:color w:val="000000" w:themeColor="text1"/>
                          <w:sz w:val="20"/>
                          <w:szCs w:val="20"/>
                        </w:rPr>
                        <w:fldChar w:fldCharType="end"/>
                      </w:r>
                      <w:r w:rsidRPr="00B66DD4">
                        <w:rPr>
                          <w:i w:val="0"/>
                          <w:iCs w:val="0"/>
                          <w:color w:val="000000" w:themeColor="text1"/>
                          <w:sz w:val="20"/>
                          <w:szCs w:val="20"/>
                        </w:rPr>
                        <w:t>:  End to End Workflow for Mental Health Risk Detection Using Machine Learning</w:t>
                      </w:r>
                    </w:p>
                  </w:txbxContent>
                </v:textbox>
                <w10:wrap type="square" anchorx="margin"/>
              </v:shape>
            </w:pict>
          </mc:Fallback>
        </mc:AlternateContent>
      </w:r>
      <w:r w:rsidRPr="00B66DD4">
        <w:rPr>
          <w:noProof/>
        </w:rPr>
        <w:drawing>
          <wp:anchor distT="0" distB="0" distL="114300" distR="114300" simplePos="0" relativeHeight="251660288" behindDoc="0" locked="0" layoutInCell="1" allowOverlap="1" wp14:anchorId="40EC234A" wp14:editId="3FEAD313">
            <wp:simplePos x="0" y="0"/>
            <wp:positionH relativeFrom="margin">
              <wp:posOffset>-38100</wp:posOffset>
            </wp:positionH>
            <wp:positionV relativeFrom="paragraph">
              <wp:posOffset>1255395</wp:posOffset>
            </wp:positionV>
            <wp:extent cx="5274310" cy="1406525"/>
            <wp:effectExtent l="0" t="0" r="2540" b="3175"/>
            <wp:wrapSquare wrapText="bothSides"/>
            <wp:docPr id="1250932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3214" name="Picture 1250932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406525"/>
                    </a:xfrm>
                    <a:prstGeom prst="rect">
                      <a:avLst/>
                    </a:prstGeom>
                  </pic:spPr>
                </pic:pic>
              </a:graphicData>
            </a:graphic>
            <wp14:sizeRelH relativeFrom="page">
              <wp14:pctWidth>0</wp14:pctWidth>
            </wp14:sizeRelH>
            <wp14:sizeRelV relativeFrom="page">
              <wp14:pctHeight>0</wp14:pctHeight>
            </wp14:sizeRelV>
          </wp:anchor>
        </w:drawing>
      </w:r>
      <w:r w:rsidRPr="00B66DD4">
        <w:t>health risk detection</w:t>
      </w:r>
      <w:r>
        <w:t xml:space="preserve">. </w:t>
      </w:r>
    </w:p>
    <w:p w14:paraId="302904C2" w14:textId="088F0281" w:rsidR="00B66DD4" w:rsidRPr="00B66DD4" w:rsidRDefault="00B66DD4" w:rsidP="00B66DD4">
      <w:pPr>
        <w:spacing w:line="360" w:lineRule="auto"/>
        <w:ind w:left="-5" w:right="22" w:hanging="10"/>
        <w:rPr>
          <w:b/>
          <w:sz w:val="28"/>
          <w:szCs w:val="28"/>
        </w:rPr>
      </w:pPr>
      <w:r w:rsidRPr="00B66DD4">
        <w:rPr>
          <w:b/>
          <w:sz w:val="28"/>
          <w:szCs w:val="28"/>
        </w:rPr>
        <w:t>Results and Discussion</w:t>
      </w:r>
    </w:p>
    <w:p w14:paraId="30A86556" w14:textId="196096E8" w:rsidR="00B66DD4" w:rsidRPr="00B66DD4" w:rsidRDefault="00B66DD4" w:rsidP="00B66DD4">
      <w:pPr>
        <w:pStyle w:val="Paragraph"/>
      </w:pPr>
      <w:r w:rsidRPr="00B66DD4">
        <w:t xml:space="preserve">The analysis of the synthetic mental health dataset (140,700 training records) revealed a depression prevalence rate of 18.17%, with 58.8% of employees classified as high or critical risk. Key risk factors identified include suicidal ideation, financial stress, work hours (&gt;10 hours/day), and low job satisfaction, with significant correlations (p&lt;0.05) confirmed via Pearson and Chi-squared tests. The </w:t>
      </w:r>
      <w:proofErr w:type="spellStart"/>
      <w:r w:rsidRPr="00B66DD4">
        <w:t>RandomForestClassifier</w:t>
      </w:r>
      <w:proofErr w:type="spellEnd"/>
      <w:r w:rsidRPr="00B66DD4">
        <w:t xml:space="preserve"> achieved 91.54% accuracy, 78.80% precision, and 73.07% recall in predicting depression risk, with SHAP values highlighting suicidal ideation and financial stress as top predictors. K-Means clustering segmented employees into three risk profiles, and PCA retained 95% variance with 8–10 components. ROI analysis estimated current mental health costs at $946M annually, with proposed interventions (e.g., crisis support, work hours policy) yielding 194–320% ROI over five years across Conservative (20%), Moderate (35%), and Optimistic (50%) scenarios, with payback periods of 2.9–7.1 months. These findings underscore actionable opportunities for cost reduction and employee wellbeing improvements.</w:t>
      </w:r>
    </w:p>
    <w:p w14:paraId="47446C6F" w14:textId="60646E7B" w:rsidR="00B66DD4" w:rsidRPr="00B66DD4" w:rsidRDefault="00B66DD4" w:rsidP="00B66DD4">
      <w:pPr>
        <w:pStyle w:val="Paragraph"/>
      </w:pPr>
    </w:p>
    <w:p w14:paraId="607262C4" w14:textId="1CADE550" w:rsidR="00B66DD4" w:rsidRPr="00B66DD4" w:rsidRDefault="00B66DD4" w:rsidP="00B66DD4">
      <w:pPr>
        <w:spacing w:line="360" w:lineRule="auto"/>
        <w:ind w:left="-5" w:right="22" w:hanging="10"/>
      </w:pPr>
      <w:r w:rsidRPr="00B66DD4">
        <w:rPr>
          <w:noProof/>
        </w:rPr>
        <w:lastRenderedPageBreak/>
        <w:drawing>
          <wp:anchor distT="0" distB="0" distL="114300" distR="114300" simplePos="0" relativeHeight="251663360" behindDoc="0" locked="0" layoutInCell="1" allowOverlap="1" wp14:anchorId="6AD92B79" wp14:editId="2D0F08E4">
            <wp:simplePos x="0" y="0"/>
            <wp:positionH relativeFrom="column">
              <wp:posOffset>800100</wp:posOffset>
            </wp:positionH>
            <wp:positionV relativeFrom="paragraph">
              <wp:posOffset>0</wp:posOffset>
            </wp:positionV>
            <wp:extent cx="4175760" cy="2683540"/>
            <wp:effectExtent l="0" t="0" r="0" b="2540"/>
            <wp:wrapSquare wrapText="bothSides"/>
            <wp:docPr id="11712991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t="2565"/>
                    <a:stretch>
                      <a:fillRect/>
                    </a:stretch>
                  </pic:blipFill>
                  <pic:spPr bwMode="auto">
                    <a:xfrm>
                      <a:off x="0" y="0"/>
                      <a:ext cx="4175760" cy="2683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322401" w14:textId="77777777" w:rsidR="00B66DD4" w:rsidRDefault="00B66DD4" w:rsidP="00B66DD4">
      <w:pPr>
        <w:pStyle w:val="Caption"/>
        <w:spacing w:line="360" w:lineRule="auto"/>
        <w:jc w:val="center"/>
        <w:rPr>
          <w:i w:val="0"/>
          <w:iCs w:val="0"/>
          <w:color w:val="000000" w:themeColor="text1"/>
          <w:sz w:val="20"/>
          <w:szCs w:val="20"/>
        </w:rPr>
      </w:pPr>
    </w:p>
    <w:p w14:paraId="5BCE1468" w14:textId="77777777" w:rsidR="00B66DD4" w:rsidRDefault="00B66DD4" w:rsidP="00B66DD4">
      <w:pPr>
        <w:pStyle w:val="Caption"/>
        <w:spacing w:line="360" w:lineRule="auto"/>
        <w:jc w:val="center"/>
        <w:rPr>
          <w:i w:val="0"/>
          <w:iCs w:val="0"/>
          <w:color w:val="000000" w:themeColor="text1"/>
          <w:sz w:val="20"/>
          <w:szCs w:val="20"/>
        </w:rPr>
      </w:pPr>
    </w:p>
    <w:p w14:paraId="51E3B3AD" w14:textId="77777777" w:rsidR="00B66DD4" w:rsidRDefault="00B66DD4" w:rsidP="00B66DD4">
      <w:pPr>
        <w:pStyle w:val="Caption"/>
        <w:spacing w:line="360" w:lineRule="auto"/>
        <w:jc w:val="center"/>
        <w:rPr>
          <w:i w:val="0"/>
          <w:iCs w:val="0"/>
          <w:color w:val="000000" w:themeColor="text1"/>
          <w:sz w:val="20"/>
          <w:szCs w:val="20"/>
        </w:rPr>
      </w:pPr>
    </w:p>
    <w:p w14:paraId="2D956A5A" w14:textId="77777777" w:rsidR="00B66DD4" w:rsidRDefault="00B66DD4" w:rsidP="00B66DD4">
      <w:pPr>
        <w:pStyle w:val="Caption"/>
        <w:spacing w:line="360" w:lineRule="auto"/>
        <w:jc w:val="center"/>
        <w:rPr>
          <w:i w:val="0"/>
          <w:iCs w:val="0"/>
          <w:color w:val="000000" w:themeColor="text1"/>
          <w:sz w:val="20"/>
          <w:szCs w:val="20"/>
        </w:rPr>
      </w:pPr>
    </w:p>
    <w:p w14:paraId="0ABB6072" w14:textId="77777777" w:rsidR="00B66DD4" w:rsidRDefault="00B66DD4" w:rsidP="00B66DD4">
      <w:pPr>
        <w:pStyle w:val="Caption"/>
        <w:spacing w:line="360" w:lineRule="auto"/>
        <w:jc w:val="center"/>
        <w:rPr>
          <w:i w:val="0"/>
          <w:iCs w:val="0"/>
          <w:color w:val="000000" w:themeColor="text1"/>
          <w:sz w:val="20"/>
          <w:szCs w:val="20"/>
        </w:rPr>
      </w:pPr>
    </w:p>
    <w:p w14:paraId="464426C1" w14:textId="77777777" w:rsidR="00B66DD4" w:rsidRDefault="00B66DD4" w:rsidP="00B66DD4">
      <w:pPr>
        <w:pStyle w:val="Caption"/>
        <w:spacing w:line="360" w:lineRule="auto"/>
        <w:jc w:val="center"/>
        <w:rPr>
          <w:i w:val="0"/>
          <w:iCs w:val="0"/>
          <w:color w:val="000000" w:themeColor="text1"/>
          <w:sz w:val="20"/>
          <w:szCs w:val="20"/>
        </w:rPr>
      </w:pPr>
    </w:p>
    <w:p w14:paraId="03C9B6B2" w14:textId="77777777" w:rsidR="00B66DD4" w:rsidRDefault="00B66DD4" w:rsidP="00B66DD4">
      <w:pPr>
        <w:pStyle w:val="Caption"/>
        <w:spacing w:line="360" w:lineRule="auto"/>
        <w:jc w:val="center"/>
        <w:rPr>
          <w:i w:val="0"/>
          <w:iCs w:val="0"/>
          <w:color w:val="000000" w:themeColor="text1"/>
          <w:sz w:val="20"/>
          <w:szCs w:val="20"/>
        </w:rPr>
      </w:pPr>
    </w:p>
    <w:p w14:paraId="14774B3E" w14:textId="77777777" w:rsidR="00B66DD4" w:rsidRDefault="00B66DD4" w:rsidP="00B66DD4">
      <w:pPr>
        <w:pStyle w:val="Caption"/>
        <w:spacing w:line="360" w:lineRule="auto"/>
        <w:jc w:val="center"/>
        <w:rPr>
          <w:i w:val="0"/>
          <w:iCs w:val="0"/>
          <w:color w:val="000000" w:themeColor="text1"/>
          <w:sz w:val="20"/>
          <w:szCs w:val="20"/>
        </w:rPr>
      </w:pPr>
    </w:p>
    <w:p w14:paraId="7FD7F556" w14:textId="35B8C1ED" w:rsidR="00B66DD4" w:rsidRPr="00B66DD4" w:rsidRDefault="00B66DD4" w:rsidP="00B66DD4">
      <w:pPr>
        <w:pStyle w:val="Caption"/>
        <w:spacing w:line="360" w:lineRule="auto"/>
        <w:jc w:val="center"/>
        <w:rPr>
          <w:b/>
          <w:bCs/>
          <w:i w:val="0"/>
          <w:iCs w:val="0"/>
          <w:color w:val="000000" w:themeColor="text1"/>
          <w:sz w:val="20"/>
          <w:szCs w:val="20"/>
        </w:rPr>
      </w:pPr>
      <w:r w:rsidRPr="00B66DD4">
        <w:rPr>
          <w:noProof/>
          <w:lang w:val="en-GB" w:eastAsia="en-GB"/>
        </w:rPr>
        <w:drawing>
          <wp:anchor distT="0" distB="0" distL="114300" distR="114300" simplePos="0" relativeHeight="251659264" behindDoc="0" locked="0" layoutInCell="1" allowOverlap="1" wp14:anchorId="6245B880" wp14:editId="147BE9FA">
            <wp:simplePos x="0" y="0"/>
            <wp:positionH relativeFrom="page">
              <wp:posOffset>2155190</wp:posOffset>
            </wp:positionH>
            <wp:positionV relativeFrom="paragraph">
              <wp:posOffset>273685</wp:posOffset>
            </wp:positionV>
            <wp:extent cx="4260966" cy="3191032"/>
            <wp:effectExtent l="0" t="0" r="6350" b="9525"/>
            <wp:wrapSquare wrapText="bothSides"/>
            <wp:docPr id="13131530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60966" cy="31910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6DD4">
        <w:rPr>
          <w:i w:val="0"/>
          <w:iCs w:val="0"/>
          <w:color w:val="000000" w:themeColor="text1"/>
          <w:sz w:val="20"/>
          <w:szCs w:val="20"/>
        </w:rPr>
        <w:t xml:space="preserve">Figure </w:t>
      </w:r>
      <w:r w:rsidRPr="00B66DD4">
        <w:rPr>
          <w:i w:val="0"/>
          <w:iCs w:val="0"/>
          <w:color w:val="000000" w:themeColor="text1"/>
          <w:sz w:val="20"/>
          <w:szCs w:val="20"/>
        </w:rPr>
        <w:fldChar w:fldCharType="begin"/>
      </w:r>
      <w:r w:rsidRPr="00B66DD4">
        <w:rPr>
          <w:i w:val="0"/>
          <w:iCs w:val="0"/>
          <w:color w:val="000000" w:themeColor="text1"/>
          <w:sz w:val="20"/>
          <w:szCs w:val="20"/>
        </w:rPr>
        <w:instrText xml:space="preserve"> SEQ Figure \* ARABIC </w:instrText>
      </w:r>
      <w:r w:rsidRPr="00B66DD4">
        <w:rPr>
          <w:i w:val="0"/>
          <w:iCs w:val="0"/>
          <w:color w:val="000000" w:themeColor="text1"/>
          <w:sz w:val="20"/>
          <w:szCs w:val="20"/>
        </w:rPr>
        <w:fldChar w:fldCharType="separate"/>
      </w:r>
      <w:r w:rsidRPr="00B66DD4">
        <w:rPr>
          <w:i w:val="0"/>
          <w:iCs w:val="0"/>
          <w:noProof/>
          <w:color w:val="000000" w:themeColor="text1"/>
          <w:sz w:val="20"/>
          <w:szCs w:val="20"/>
        </w:rPr>
        <w:t>2</w:t>
      </w:r>
      <w:r w:rsidRPr="00B66DD4">
        <w:rPr>
          <w:i w:val="0"/>
          <w:iCs w:val="0"/>
          <w:color w:val="000000" w:themeColor="text1"/>
          <w:sz w:val="20"/>
          <w:szCs w:val="20"/>
        </w:rPr>
        <w:fldChar w:fldCharType="end"/>
      </w:r>
      <w:r>
        <w:rPr>
          <w:i w:val="0"/>
          <w:iCs w:val="0"/>
          <w:color w:val="000000" w:themeColor="text1"/>
          <w:sz w:val="20"/>
          <w:szCs w:val="20"/>
        </w:rPr>
        <w:t>:</w:t>
      </w:r>
      <w:r w:rsidRPr="00B66DD4">
        <w:rPr>
          <w:i w:val="0"/>
          <w:iCs w:val="0"/>
          <w:color w:val="000000" w:themeColor="text1"/>
          <w:sz w:val="20"/>
          <w:szCs w:val="20"/>
        </w:rPr>
        <w:t xml:space="preserve"> Mental Health Impact by Key Business Factors</w:t>
      </w:r>
    </w:p>
    <w:p w14:paraId="1F43E58D" w14:textId="25007254" w:rsidR="00B66DD4" w:rsidRPr="00B66DD4" w:rsidRDefault="00B66DD4" w:rsidP="00B66DD4">
      <w:pPr>
        <w:pStyle w:val="Caption"/>
        <w:spacing w:line="360" w:lineRule="auto"/>
        <w:ind w:left="720" w:firstLine="720"/>
        <w:jc w:val="center"/>
        <w:rPr>
          <w:rFonts w:eastAsia="Calibri"/>
          <w:i w:val="0"/>
          <w:iCs w:val="0"/>
          <w:color w:val="000000" w:themeColor="text1"/>
          <w:sz w:val="20"/>
          <w:szCs w:val="24"/>
          <w:lang w:val="en-GB" w:eastAsia="en-GB"/>
        </w:rPr>
      </w:pPr>
      <w:r w:rsidRPr="00B66DD4">
        <w:rPr>
          <w:i w:val="0"/>
          <w:iCs w:val="0"/>
          <w:color w:val="000000" w:themeColor="text1"/>
          <w:sz w:val="20"/>
          <w:szCs w:val="20"/>
        </w:rPr>
        <w:t xml:space="preserve">Figure </w:t>
      </w:r>
      <w:r w:rsidRPr="00B66DD4">
        <w:rPr>
          <w:i w:val="0"/>
          <w:iCs w:val="0"/>
          <w:color w:val="000000" w:themeColor="text1"/>
          <w:sz w:val="20"/>
          <w:szCs w:val="20"/>
        </w:rPr>
        <w:fldChar w:fldCharType="begin"/>
      </w:r>
      <w:r w:rsidRPr="00B66DD4">
        <w:rPr>
          <w:i w:val="0"/>
          <w:iCs w:val="0"/>
          <w:color w:val="000000" w:themeColor="text1"/>
          <w:sz w:val="20"/>
          <w:szCs w:val="20"/>
        </w:rPr>
        <w:instrText xml:space="preserve"> SEQ Figure \* ARABIC </w:instrText>
      </w:r>
      <w:r w:rsidRPr="00B66DD4">
        <w:rPr>
          <w:i w:val="0"/>
          <w:iCs w:val="0"/>
          <w:color w:val="000000" w:themeColor="text1"/>
          <w:sz w:val="20"/>
          <w:szCs w:val="20"/>
        </w:rPr>
        <w:fldChar w:fldCharType="separate"/>
      </w:r>
      <w:r w:rsidRPr="00B66DD4">
        <w:rPr>
          <w:i w:val="0"/>
          <w:iCs w:val="0"/>
          <w:noProof/>
          <w:color w:val="000000" w:themeColor="text1"/>
          <w:sz w:val="20"/>
          <w:szCs w:val="20"/>
        </w:rPr>
        <w:t>3</w:t>
      </w:r>
      <w:r w:rsidRPr="00B66DD4">
        <w:rPr>
          <w:i w:val="0"/>
          <w:iCs w:val="0"/>
          <w:color w:val="000000" w:themeColor="text1"/>
          <w:sz w:val="20"/>
          <w:szCs w:val="20"/>
        </w:rPr>
        <w:fldChar w:fldCharType="end"/>
      </w:r>
      <w:r w:rsidRPr="00B66DD4">
        <w:rPr>
          <w:i w:val="0"/>
          <w:iCs w:val="0"/>
          <w:color w:val="000000" w:themeColor="text1"/>
          <w:sz w:val="20"/>
          <w:szCs w:val="20"/>
        </w:rPr>
        <w:t xml:space="preserve"> Comprehensive Machine Learning Model Evaluation and Risk Stratification Dashboard</w:t>
      </w:r>
    </w:p>
    <w:p w14:paraId="141354E7" w14:textId="59D64C83" w:rsidR="00B66DD4" w:rsidRPr="00B66DD4" w:rsidRDefault="00B66DD4" w:rsidP="00B66DD4">
      <w:pPr>
        <w:spacing w:line="360" w:lineRule="auto"/>
        <w:ind w:right="22"/>
        <w:rPr>
          <w:b/>
          <w:sz w:val="28"/>
          <w:szCs w:val="28"/>
        </w:rPr>
      </w:pPr>
      <w:r w:rsidRPr="00B66DD4">
        <w:rPr>
          <w:b/>
          <w:sz w:val="28"/>
          <w:szCs w:val="28"/>
        </w:rPr>
        <w:t>Conclusions</w:t>
      </w:r>
    </w:p>
    <w:p w14:paraId="7EA7FA78" w14:textId="1017F699" w:rsidR="00B66DD4" w:rsidRPr="00B66DD4" w:rsidRDefault="00B66DD4" w:rsidP="00B66DD4">
      <w:pPr>
        <w:spacing w:line="360" w:lineRule="auto"/>
        <w:ind w:right="22"/>
      </w:pPr>
      <w:r w:rsidRPr="00B66DD4">
        <w:rPr>
          <w:sz w:val="22"/>
          <w:szCs w:val="22"/>
        </w:rPr>
        <w:t xml:space="preserve">The synthetic mental health dataset reveals a 18.17% depression prevalence and 58.8% high/critical-risk employees, especially among Gen Z. Key factors—suicidal ideation, financial stress, long work hours, and low job satisfaction—show strong correlations (p&lt;0.05). A </w:t>
      </w:r>
      <w:proofErr w:type="spellStart"/>
      <w:r w:rsidRPr="00B66DD4">
        <w:rPr>
          <w:sz w:val="22"/>
          <w:szCs w:val="22"/>
        </w:rPr>
        <w:t>RandomForestClassifier</w:t>
      </w:r>
      <w:proofErr w:type="spellEnd"/>
      <w:r w:rsidRPr="00B66DD4">
        <w:rPr>
          <w:sz w:val="22"/>
          <w:szCs w:val="22"/>
        </w:rPr>
        <w:t xml:space="preserve"> achieved 91.54% accuracy, with SHAP interpretability enabling proactive </w:t>
      </w:r>
      <w:r w:rsidRPr="00B66DD4">
        <w:rPr>
          <w:sz w:val="22"/>
          <w:szCs w:val="22"/>
        </w:rPr>
        <w:lastRenderedPageBreak/>
        <w:t>risk detection. Projected ROI of 194–320% and payback in 2.9 months support interventions like crisis support and work-hour policies. Aligning with prior research, findings highlight wellness programs’ value for efficiency and retention, though ethical implementation, expert validation, and privacy compliance remain essential.</w:t>
      </w:r>
    </w:p>
    <w:p w14:paraId="0D40BA51" w14:textId="77777777" w:rsidR="00B66DD4" w:rsidRPr="00B66DD4" w:rsidRDefault="00B66DD4" w:rsidP="00B66DD4">
      <w:pPr>
        <w:spacing w:line="360" w:lineRule="auto"/>
        <w:ind w:left="-5" w:right="22" w:hanging="10"/>
        <w:rPr>
          <w:b/>
          <w:sz w:val="28"/>
          <w:szCs w:val="28"/>
        </w:rPr>
      </w:pPr>
      <w:r w:rsidRPr="00B66DD4">
        <w:rPr>
          <w:b/>
          <w:sz w:val="28"/>
          <w:szCs w:val="28"/>
        </w:rPr>
        <w:t>References</w:t>
      </w:r>
    </w:p>
    <w:p w14:paraId="07387E7C" w14:textId="77777777" w:rsidR="00B66DD4" w:rsidRPr="00B66DD4" w:rsidRDefault="00B66DD4" w:rsidP="00B66DD4">
      <w:pPr>
        <w:pStyle w:val="EndNoteBibliography"/>
        <w:numPr>
          <w:ilvl w:val="0"/>
          <w:numId w:val="4"/>
        </w:numPr>
        <w:spacing w:after="0" w:line="360" w:lineRule="auto"/>
        <w:rPr>
          <w:rFonts w:ascii="Times New Roman" w:hAnsi="Times New Roman" w:cs="Times New Roman"/>
          <w:sz w:val="22"/>
        </w:rPr>
      </w:pPr>
      <w:r w:rsidRPr="00B66DD4">
        <w:rPr>
          <w:rFonts w:ascii="Times New Roman" w:eastAsia="Calibri" w:hAnsi="Times New Roman" w:cs="Times New Roman"/>
          <w:b/>
          <w:sz w:val="22"/>
        </w:rPr>
        <w:fldChar w:fldCharType="begin"/>
      </w:r>
      <w:r w:rsidRPr="00B66DD4">
        <w:rPr>
          <w:rFonts w:ascii="Times New Roman" w:hAnsi="Times New Roman" w:cs="Times New Roman"/>
          <w:b/>
          <w:sz w:val="22"/>
        </w:rPr>
        <w:instrText xml:space="preserve"> ADDIN EN.REFLIST </w:instrText>
      </w:r>
      <w:r w:rsidRPr="00B66DD4">
        <w:rPr>
          <w:rFonts w:ascii="Times New Roman" w:eastAsia="Calibri" w:hAnsi="Times New Roman" w:cs="Times New Roman"/>
          <w:b/>
          <w:sz w:val="22"/>
        </w:rPr>
        <w:fldChar w:fldCharType="separate"/>
      </w:r>
      <w:r w:rsidRPr="00B66DD4">
        <w:rPr>
          <w:rFonts w:ascii="Times New Roman" w:hAnsi="Times New Roman" w:cs="Times New Roman"/>
          <w:sz w:val="22"/>
        </w:rPr>
        <w:t xml:space="preserve">Choi, E., Schuetz, A., Stewart, W. F., &amp; Sun, J. (2017). Using recurrent neural network models for early detection of heart failure onset. </w:t>
      </w:r>
      <w:r w:rsidRPr="00B66DD4">
        <w:rPr>
          <w:rFonts w:ascii="Times New Roman" w:hAnsi="Times New Roman" w:cs="Times New Roman"/>
          <w:i/>
          <w:sz w:val="22"/>
        </w:rPr>
        <w:t>Journal of the American Medical Informatics Association</w:t>
      </w:r>
      <w:r w:rsidRPr="00B66DD4">
        <w:rPr>
          <w:rFonts w:ascii="Times New Roman" w:hAnsi="Times New Roman" w:cs="Times New Roman"/>
          <w:sz w:val="22"/>
        </w:rPr>
        <w:t>,</w:t>
      </w:r>
      <w:r w:rsidRPr="00B66DD4">
        <w:rPr>
          <w:rFonts w:ascii="Times New Roman" w:hAnsi="Times New Roman" w:cs="Times New Roman"/>
          <w:i/>
          <w:sz w:val="22"/>
        </w:rPr>
        <w:t xml:space="preserve"> 24</w:t>
      </w:r>
      <w:r w:rsidRPr="00B66DD4">
        <w:rPr>
          <w:rFonts w:ascii="Times New Roman" w:hAnsi="Times New Roman" w:cs="Times New Roman"/>
          <w:sz w:val="22"/>
        </w:rPr>
        <w:t xml:space="preserve">(2), 361-370. </w:t>
      </w:r>
    </w:p>
    <w:p w14:paraId="1D591259" w14:textId="77777777" w:rsidR="00B66DD4" w:rsidRPr="00B66DD4" w:rsidRDefault="00B66DD4" w:rsidP="00B66DD4">
      <w:pPr>
        <w:pStyle w:val="EndNoteBibliography"/>
        <w:numPr>
          <w:ilvl w:val="0"/>
          <w:numId w:val="4"/>
        </w:numPr>
        <w:spacing w:after="0" w:line="360" w:lineRule="auto"/>
        <w:rPr>
          <w:rFonts w:ascii="Times New Roman" w:hAnsi="Times New Roman" w:cs="Times New Roman"/>
          <w:sz w:val="22"/>
        </w:rPr>
      </w:pPr>
      <w:r w:rsidRPr="00B66DD4">
        <w:rPr>
          <w:rFonts w:ascii="Times New Roman" w:hAnsi="Times New Roman" w:cs="Times New Roman"/>
          <w:sz w:val="22"/>
        </w:rPr>
        <w:t xml:space="preserve">Goetzel, R. Z., Roemer, E. C., Holingue, C., Fallin, M. D., McCleary, K., Eaton, W., Agnew, J., Azocar, F., Ballard, D., &amp; Bartlett, J. (2018). Mental health in the workplace: a call to action proceedings from the Mental Health in the Workplace—Public Health Summit. </w:t>
      </w:r>
      <w:r w:rsidRPr="00B66DD4">
        <w:rPr>
          <w:rFonts w:ascii="Times New Roman" w:hAnsi="Times New Roman" w:cs="Times New Roman"/>
          <w:i/>
          <w:sz w:val="22"/>
        </w:rPr>
        <w:t>Journal of occupational and environmental medicine</w:t>
      </w:r>
      <w:r w:rsidRPr="00B66DD4">
        <w:rPr>
          <w:rFonts w:ascii="Times New Roman" w:hAnsi="Times New Roman" w:cs="Times New Roman"/>
          <w:sz w:val="22"/>
        </w:rPr>
        <w:t>,</w:t>
      </w:r>
      <w:r w:rsidRPr="00B66DD4">
        <w:rPr>
          <w:rFonts w:ascii="Times New Roman" w:hAnsi="Times New Roman" w:cs="Times New Roman"/>
          <w:i/>
          <w:sz w:val="22"/>
        </w:rPr>
        <w:t xml:space="preserve"> 60</w:t>
      </w:r>
      <w:r w:rsidRPr="00B66DD4">
        <w:rPr>
          <w:rFonts w:ascii="Times New Roman" w:hAnsi="Times New Roman" w:cs="Times New Roman"/>
          <w:sz w:val="22"/>
        </w:rPr>
        <w:t xml:space="preserve">(4), 322-330. </w:t>
      </w:r>
    </w:p>
    <w:p w14:paraId="7D2195C1" w14:textId="77777777" w:rsidR="00B66DD4" w:rsidRPr="00B66DD4" w:rsidRDefault="00B66DD4" w:rsidP="00B66DD4">
      <w:pPr>
        <w:pStyle w:val="EndNoteBibliography"/>
        <w:numPr>
          <w:ilvl w:val="0"/>
          <w:numId w:val="4"/>
        </w:numPr>
        <w:spacing w:after="0" w:line="360" w:lineRule="auto"/>
        <w:rPr>
          <w:rFonts w:ascii="Times New Roman" w:hAnsi="Times New Roman" w:cs="Times New Roman"/>
          <w:sz w:val="22"/>
        </w:rPr>
      </w:pPr>
      <w:r w:rsidRPr="00B66DD4">
        <w:rPr>
          <w:rFonts w:ascii="Times New Roman" w:hAnsi="Times New Roman" w:cs="Times New Roman"/>
          <w:sz w:val="22"/>
        </w:rPr>
        <w:t xml:space="preserve">Goodfellow, I. J., Pouget-Abadie, J., Mirza, M., Xu, B., Warde-Farley, D., Ozair, S., Courville, A., &amp; Bengio, Y. (2014). Generative adversarial nets. </w:t>
      </w:r>
      <w:r w:rsidRPr="00B66DD4">
        <w:rPr>
          <w:rFonts w:ascii="Times New Roman" w:hAnsi="Times New Roman" w:cs="Times New Roman"/>
          <w:i/>
          <w:sz w:val="22"/>
        </w:rPr>
        <w:t>Advances in neural information processing systems</w:t>
      </w:r>
      <w:r w:rsidRPr="00B66DD4">
        <w:rPr>
          <w:rFonts w:ascii="Times New Roman" w:hAnsi="Times New Roman" w:cs="Times New Roman"/>
          <w:sz w:val="22"/>
        </w:rPr>
        <w:t>,</w:t>
      </w:r>
      <w:r w:rsidRPr="00B66DD4">
        <w:rPr>
          <w:rFonts w:ascii="Times New Roman" w:hAnsi="Times New Roman" w:cs="Times New Roman"/>
          <w:i/>
          <w:sz w:val="22"/>
        </w:rPr>
        <w:t xml:space="preserve"> 27</w:t>
      </w:r>
      <w:r w:rsidRPr="00B66DD4">
        <w:rPr>
          <w:rFonts w:ascii="Times New Roman" w:hAnsi="Times New Roman" w:cs="Times New Roman"/>
          <w:sz w:val="22"/>
        </w:rPr>
        <w:t xml:space="preserve">. </w:t>
      </w:r>
    </w:p>
    <w:p w14:paraId="0C7AFA83" w14:textId="77777777" w:rsidR="00B66DD4" w:rsidRPr="00B66DD4" w:rsidRDefault="00B66DD4" w:rsidP="00B66DD4">
      <w:pPr>
        <w:pStyle w:val="EndNoteBibliography"/>
        <w:numPr>
          <w:ilvl w:val="0"/>
          <w:numId w:val="4"/>
        </w:numPr>
        <w:spacing w:after="0" w:line="360" w:lineRule="auto"/>
        <w:rPr>
          <w:rFonts w:ascii="Times New Roman" w:hAnsi="Times New Roman" w:cs="Times New Roman"/>
          <w:sz w:val="22"/>
        </w:rPr>
      </w:pPr>
      <w:r w:rsidRPr="00B66DD4">
        <w:rPr>
          <w:rFonts w:ascii="Times New Roman" w:hAnsi="Times New Roman" w:cs="Times New Roman"/>
          <w:sz w:val="22"/>
        </w:rPr>
        <w:t xml:space="preserve">Hampson, E., &amp; Jacob, A. (2020). Mental health and employers-Refreshing the case for investment-Deloitte. </w:t>
      </w:r>
      <w:r w:rsidRPr="00B66DD4">
        <w:rPr>
          <w:rFonts w:ascii="Times New Roman" w:hAnsi="Times New Roman" w:cs="Times New Roman"/>
          <w:i/>
          <w:sz w:val="22"/>
        </w:rPr>
        <w:t xml:space="preserve">Dostupno na: </w:t>
      </w:r>
      <w:hyperlink r:id="rId10" w:history="1">
        <w:r w:rsidRPr="00B66DD4">
          <w:rPr>
            <w:rStyle w:val="Hyperlink"/>
            <w:rFonts w:ascii="Times New Roman" w:hAnsi="Times New Roman" w:cs="Times New Roman"/>
            <w:i/>
            <w:sz w:val="22"/>
          </w:rPr>
          <w:t>https://www2</w:t>
        </w:r>
      </w:hyperlink>
      <w:r w:rsidRPr="00B66DD4">
        <w:rPr>
          <w:rFonts w:ascii="Times New Roman" w:hAnsi="Times New Roman" w:cs="Times New Roman"/>
          <w:i/>
          <w:sz w:val="22"/>
        </w:rPr>
        <w:t>. deloitte. com/content/dam/Deloitte/uk/Documents/consultancy/del oitte-uk-mental-health-and-employers. pdf stranici pristupljeno</w:t>
      </w:r>
      <w:r w:rsidRPr="00B66DD4">
        <w:rPr>
          <w:rFonts w:ascii="Times New Roman" w:hAnsi="Times New Roman" w:cs="Times New Roman"/>
          <w:sz w:val="22"/>
        </w:rPr>
        <w:t>,</w:t>
      </w:r>
      <w:r w:rsidRPr="00B66DD4">
        <w:rPr>
          <w:rFonts w:ascii="Times New Roman" w:hAnsi="Times New Roman" w:cs="Times New Roman"/>
          <w:i/>
          <w:sz w:val="22"/>
        </w:rPr>
        <w:t xml:space="preserve"> 14</w:t>
      </w:r>
      <w:r w:rsidRPr="00B66DD4">
        <w:rPr>
          <w:rFonts w:ascii="Times New Roman" w:hAnsi="Times New Roman" w:cs="Times New Roman"/>
          <w:sz w:val="22"/>
        </w:rPr>
        <w:t xml:space="preserve">, 2020. </w:t>
      </w:r>
    </w:p>
    <w:p w14:paraId="64E92E8E" w14:textId="77777777" w:rsidR="00B66DD4" w:rsidRPr="00B66DD4" w:rsidRDefault="00B66DD4" w:rsidP="00B66DD4">
      <w:pPr>
        <w:pStyle w:val="EndNoteBibliography"/>
        <w:numPr>
          <w:ilvl w:val="0"/>
          <w:numId w:val="4"/>
        </w:numPr>
        <w:spacing w:line="360" w:lineRule="auto"/>
        <w:rPr>
          <w:rFonts w:ascii="Times New Roman" w:hAnsi="Times New Roman" w:cs="Times New Roman"/>
          <w:sz w:val="22"/>
        </w:rPr>
      </w:pPr>
      <w:r w:rsidRPr="00B66DD4">
        <w:rPr>
          <w:rFonts w:ascii="Times New Roman" w:hAnsi="Times New Roman" w:cs="Times New Roman"/>
          <w:sz w:val="22"/>
          <w:lang w:val="de-DE"/>
        </w:rPr>
        <w:t xml:space="preserve">Kessler, R. C., Akiskal, H. S., Ames, M., Birnbaum, H., Greenberg, P., . </w:t>
      </w:r>
      <w:r w:rsidRPr="00B66DD4">
        <w:rPr>
          <w:rFonts w:ascii="Times New Roman" w:hAnsi="Times New Roman" w:cs="Times New Roman"/>
          <w:sz w:val="22"/>
        </w:rPr>
        <w:t xml:space="preserve">A, R. M., Jin, R., Merikangas, K. R., Simon, G. E., &amp; Wang, P. S. (2006). Prevalence and effects of mood disorders on work performance in a nationally representative sample of US workers. </w:t>
      </w:r>
      <w:r w:rsidRPr="00B66DD4">
        <w:rPr>
          <w:rFonts w:ascii="Times New Roman" w:hAnsi="Times New Roman" w:cs="Times New Roman"/>
          <w:i/>
          <w:sz w:val="22"/>
        </w:rPr>
        <w:t>American journal of psychiatry</w:t>
      </w:r>
      <w:r w:rsidRPr="00B66DD4">
        <w:rPr>
          <w:rFonts w:ascii="Times New Roman" w:hAnsi="Times New Roman" w:cs="Times New Roman"/>
          <w:sz w:val="22"/>
        </w:rPr>
        <w:t>,</w:t>
      </w:r>
      <w:r w:rsidRPr="00B66DD4">
        <w:rPr>
          <w:rFonts w:ascii="Times New Roman" w:hAnsi="Times New Roman" w:cs="Times New Roman"/>
          <w:i/>
          <w:sz w:val="22"/>
        </w:rPr>
        <w:t xml:space="preserve"> 163</w:t>
      </w:r>
      <w:r w:rsidRPr="00B66DD4">
        <w:rPr>
          <w:rFonts w:ascii="Times New Roman" w:hAnsi="Times New Roman" w:cs="Times New Roman"/>
          <w:sz w:val="22"/>
        </w:rPr>
        <w:t xml:space="preserve">(9), 1561-1568. </w:t>
      </w:r>
    </w:p>
    <w:p w14:paraId="60ABFBEA" w14:textId="77777777" w:rsidR="00B66DD4" w:rsidRPr="00B66DD4" w:rsidRDefault="00B66DD4" w:rsidP="00B66DD4">
      <w:pPr>
        <w:pStyle w:val="Heading1"/>
        <w:spacing w:line="360" w:lineRule="auto"/>
        <w:rPr>
          <w:rFonts w:ascii="Times New Roman" w:hAnsi="Times New Roman" w:cs="Times New Roman"/>
          <w:b w:val="0"/>
          <w:sz w:val="20"/>
          <w:szCs w:val="20"/>
        </w:rPr>
      </w:pPr>
      <w:r w:rsidRPr="00B66DD4">
        <w:rPr>
          <w:rFonts w:ascii="Times New Roman" w:hAnsi="Times New Roman" w:cs="Times New Roman"/>
          <w:b w:val="0"/>
          <w:sz w:val="22"/>
          <w:szCs w:val="22"/>
        </w:rPr>
        <w:fldChar w:fldCharType="end"/>
      </w:r>
    </w:p>
    <w:p w14:paraId="103A48F9" w14:textId="10BE7550" w:rsidR="00B40DAD" w:rsidRPr="00B66DD4" w:rsidRDefault="00B40DAD" w:rsidP="00B66DD4">
      <w:pPr>
        <w:pStyle w:val="Normal1"/>
        <w:spacing w:before="200" w:line="360" w:lineRule="auto"/>
        <w:rPr>
          <w:sz w:val="24"/>
          <w:szCs w:val="24"/>
        </w:rPr>
      </w:pPr>
    </w:p>
    <w:sectPr w:rsidR="00B40DAD" w:rsidRPr="00B66DD4">
      <w:footerReference w:type="default" r:id="rId11"/>
      <w:pgSz w:w="12240" w:h="15840"/>
      <w:pgMar w:top="1440" w:right="144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DB7C38" w14:textId="77777777" w:rsidR="00824929" w:rsidRDefault="00824929">
      <w:r>
        <w:separator/>
      </w:r>
    </w:p>
  </w:endnote>
  <w:endnote w:type="continuationSeparator" w:id="0">
    <w:p w14:paraId="572744A4" w14:textId="77777777" w:rsidR="00824929" w:rsidRDefault="00824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EE8C9" w14:textId="77777777" w:rsidR="0037184F" w:rsidRDefault="00CB33DB">
    <w:pPr>
      <w:pStyle w:val="Normal1"/>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8B27F8">
      <w:rPr>
        <w:noProof/>
        <w:color w:val="000000"/>
      </w:rPr>
      <w:t>1</w:t>
    </w:r>
    <w:r>
      <w:rPr>
        <w:color w:val="000000"/>
      </w:rPr>
      <w:fldChar w:fldCharType="end"/>
    </w:r>
  </w:p>
  <w:p w14:paraId="04D56654" w14:textId="77777777" w:rsidR="0037184F" w:rsidRDefault="0037184F">
    <w:pPr>
      <w:pStyle w:val="Normal1"/>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BE0D37" w14:textId="77777777" w:rsidR="00824929" w:rsidRDefault="00824929">
      <w:r>
        <w:separator/>
      </w:r>
    </w:p>
  </w:footnote>
  <w:footnote w:type="continuationSeparator" w:id="0">
    <w:p w14:paraId="77C03212" w14:textId="77777777" w:rsidR="00824929" w:rsidRDefault="008249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05097"/>
    <w:multiLevelType w:val="hybridMultilevel"/>
    <w:tmpl w:val="CD585490"/>
    <w:lvl w:ilvl="0" w:tplc="FB023E62">
      <w:start w:val="1"/>
      <w:numFmt w:val="decimal"/>
      <w:lvlText w:val="[%1]"/>
      <w:lvlJc w:val="left"/>
      <w:pPr>
        <w:ind w:left="36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34B2D"/>
    <w:multiLevelType w:val="multilevel"/>
    <w:tmpl w:val="62BE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E76E52"/>
    <w:multiLevelType w:val="hybridMultilevel"/>
    <w:tmpl w:val="3E581562"/>
    <w:lvl w:ilvl="0" w:tplc="FB023E62">
      <w:start w:val="1"/>
      <w:numFmt w:val="decimal"/>
      <w:lvlText w:val="[%1]"/>
      <w:lvlJc w:val="left"/>
      <w:pPr>
        <w:ind w:left="360" w:hanging="360"/>
      </w:pPr>
      <w:rPr>
        <w:rFonts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E85385C"/>
    <w:multiLevelType w:val="multilevel"/>
    <w:tmpl w:val="DAD6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415476">
    <w:abstractNumId w:val="1"/>
  </w:num>
  <w:num w:numId="2" w16cid:durableId="726074991">
    <w:abstractNumId w:val="3"/>
  </w:num>
  <w:num w:numId="3" w16cid:durableId="803279799">
    <w:abstractNumId w:val="0"/>
  </w:num>
  <w:num w:numId="4" w16cid:durableId="350449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84F"/>
    <w:rsid w:val="0005528B"/>
    <w:rsid w:val="00071152"/>
    <w:rsid w:val="001045F1"/>
    <w:rsid w:val="001C6F05"/>
    <w:rsid w:val="001E2532"/>
    <w:rsid w:val="001E5858"/>
    <w:rsid w:val="002C13A5"/>
    <w:rsid w:val="002C6477"/>
    <w:rsid w:val="0037184F"/>
    <w:rsid w:val="00393FAD"/>
    <w:rsid w:val="00497A45"/>
    <w:rsid w:val="004B0A6C"/>
    <w:rsid w:val="004E18BE"/>
    <w:rsid w:val="005811F6"/>
    <w:rsid w:val="005B2319"/>
    <w:rsid w:val="005E3471"/>
    <w:rsid w:val="00646543"/>
    <w:rsid w:val="006B1375"/>
    <w:rsid w:val="006C3530"/>
    <w:rsid w:val="006E49A5"/>
    <w:rsid w:val="00784CED"/>
    <w:rsid w:val="00824929"/>
    <w:rsid w:val="008875CC"/>
    <w:rsid w:val="008B27F8"/>
    <w:rsid w:val="00A6403A"/>
    <w:rsid w:val="00AA3025"/>
    <w:rsid w:val="00B11D51"/>
    <w:rsid w:val="00B241F6"/>
    <w:rsid w:val="00B40DAD"/>
    <w:rsid w:val="00B504DB"/>
    <w:rsid w:val="00B532FC"/>
    <w:rsid w:val="00B65688"/>
    <w:rsid w:val="00B66DD4"/>
    <w:rsid w:val="00C11B49"/>
    <w:rsid w:val="00C12FA4"/>
    <w:rsid w:val="00CB33DB"/>
    <w:rsid w:val="00CC7FC9"/>
    <w:rsid w:val="00D20F47"/>
    <w:rsid w:val="00D25EFF"/>
    <w:rsid w:val="00DA1405"/>
    <w:rsid w:val="00DB0CE4"/>
    <w:rsid w:val="00E524DC"/>
    <w:rsid w:val="00F928C1"/>
    <w:rsid w:val="00FD26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2B6ACD"/>
  <w15:docId w15:val="{21C4FC51-8F8D-467C-8A8C-F89820A7C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80"/>
      <w:ind w:left="432" w:hanging="432"/>
      <w:outlineLvl w:val="0"/>
    </w:pPr>
    <w:rPr>
      <w:rFonts w:ascii="Cambria" w:eastAsia="Cambria" w:hAnsi="Cambria" w:cs="Cambria"/>
      <w:b/>
      <w:color w:val="365F91"/>
      <w:sz w:val="28"/>
      <w:szCs w:val="28"/>
    </w:rPr>
  </w:style>
  <w:style w:type="paragraph" w:styleId="Heading2">
    <w:name w:val="heading 2"/>
    <w:basedOn w:val="Normal1"/>
    <w:next w:val="Normal1"/>
    <w:pPr>
      <w:keepNext/>
      <w:spacing w:before="240" w:after="60"/>
      <w:ind w:left="576" w:hanging="576"/>
      <w:outlineLvl w:val="1"/>
    </w:pPr>
    <w:rPr>
      <w:rFonts w:ascii="Cambria" w:eastAsia="Cambria" w:hAnsi="Cambria" w:cs="Cambria"/>
      <w:b/>
      <w:i/>
      <w:sz w:val="28"/>
      <w:szCs w:val="28"/>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8875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D20F47"/>
    <w:pPr>
      <w:spacing w:after="200"/>
    </w:pPr>
    <w:rPr>
      <w:i/>
      <w:iCs/>
      <w:color w:val="1F497D" w:themeColor="text2"/>
      <w:sz w:val="18"/>
      <w:szCs w:val="18"/>
    </w:rPr>
  </w:style>
  <w:style w:type="character" w:styleId="Emphasis">
    <w:name w:val="Emphasis"/>
    <w:basedOn w:val="DefaultParagraphFont"/>
    <w:uiPriority w:val="20"/>
    <w:qFormat/>
    <w:rsid w:val="00B40DAD"/>
    <w:rPr>
      <w:i/>
      <w:iCs/>
    </w:rPr>
  </w:style>
  <w:style w:type="character" w:styleId="Hyperlink">
    <w:name w:val="Hyperlink"/>
    <w:basedOn w:val="DefaultParagraphFont"/>
    <w:uiPriority w:val="99"/>
    <w:unhideWhenUsed/>
    <w:rsid w:val="00B66DD4"/>
    <w:rPr>
      <w:color w:val="0000FF" w:themeColor="hyperlink"/>
      <w:u w:val="single"/>
    </w:rPr>
  </w:style>
  <w:style w:type="paragraph" w:customStyle="1" w:styleId="Paragraph">
    <w:name w:val="Paragraph"/>
    <w:basedOn w:val="Normal"/>
    <w:link w:val="ParagraphChar"/>
    <w:autoRedefine/>
    <w:qFormat/>
    <w:rsid w:val="00B66DD4"/>
    <w:pPr>
      <w:widowControl/>
      <w:spacing w:before="240" w:after="100" w:line="360" w:lineRule="auto"/>
    </w:pPr>
    <w:rPr>
      <w:sz w:val="22"/>
      <w:szCs w:val="22"/>
    </w:rPr>
  </w:style>
  <w:style w:type="character" w:customStyle="1" w:styleId="ParagraphChar">
    <w:name w:val="Paragraph Char"/>
    <w:link w:val="Paragraph"/>
    <w:rsid w:val="00B66DD4"/>
    <w:rPr>
      <w:sz w:val="22"/>
      <w:szCs w:val="22"/>
    </w:rPr>
  </w:style>
  <w:style w:type="paragraph" w:customStyle="1" w:styleId="EndNoteBibliography">
    <w:name w:val="EndNote Bibliography"/>
    <w:basedOn w:val="Normal"/>
    <w:link w:val="EndNoteBibliographyChar"/>
    <w:rsid w:val="00B66DD4"/>
    <w:pPr>
      <w:widowControl/>
      <w:spacing w:after="160"/>
    </w:pPr>
    <w:rPr>
      <w:rFonts w:ascii="Calibri Light" w:hAnsi="Calibri Light" w:cs="Calibri Light"/>
      <w:noProof/>
      <w:sz w:val="32"/>
      <w:szCs w:val="22"/>
      <w:lang w:bidi="si-LK"/>
    </w:rPr>
  </w:style>
  <w:style w:type="character" w:customStyle="1" w:styleId="EndNoteBibliographyChar">
    <w:name w:val="EndNote Bibliography Char"/>
    <w:basedOn w:val="ParagraphChar"/>
    <w:link w:val="EndNoteBibliography"/>
    <w:rsid w:val="00B66DD4"/>
    <w:rPr>
      <w:rFonts w:ascii="Calibri Light" w:hAnsi="Calibri Light" w:cs="Calibri Light"/>
      <w:noProof/>
      <w:sz w:val="32"/>
      <w:szCs w:val="22"/>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988890">
      <w:bodyDiv w:val="1"/>
      <w:marLeft w:val="0"/>
      <w:marRight w:val="0"/>
      <w:marTop w:val="0"/>
      <w:marBottom w:val="0"/>
      <w:divBdr>
        <w:top w:val="none" w:sz="0" w:space="0" w:color="auto"/>
        <w:left w:val="none" w:sz="0" w:space="0" w:color="auto"/>
        <w:bottom w:val="none" w:sz="0" w:space="0" w:color="auto"/>
        <w:right w:val="none" w:sz="0" w:space="0" w:color="auto"/>
      </w:divBdr>
    </w:div>
    <w:div w:id="1519659117">
      <w:bodyDiv w:val="1"/>
      <w:marLeft w:val="0"/>
      <w:marRight w:val="0"/>
      <w:marTop w:val="0"/>
      <w:marBottom w:val="0"/>
      <w:divBdr>
        <w:top w:val="none" w:sz="0" w:space="0" w:color="auto"/>
        <w:left w:val="none" w:sz="0" w:space="0" w:color="auto"/>
        <w:bottom w:val="none" w:sz="0" w:space="0" w:color="auto"/>
        <w:right w:val="none" w:sz="0" w:space="0" w:color="auto"/>
      </w:divBdr>
    </w:div>
    <w:div w:id="18997007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2"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5</Pages>
  <Words>2456</Words>
  <Characters>15209</Characters>
  <Application>Microsoft Office Word</Application>
  <DocSecurity>0</DocSecurity>
  <Lines>230</Lines>
  <Paragraphs>42</Paragraphs>
  <ScaleCrop>false</ScaleCrop>
  <HeadingPairs>
    <vt:vector size="2" baseType="variant">
      <vt:variant>
        <vt:lpstr>Title</vt:lpstr>
      </vt:variant>
      <vt:variant>
        <vt:i4>1</vt:i4>
      </vt:variant>
    </vt:vector>
  </HeadingPairs>
  <TitlesOfParts>
    <vt:vector size="1" baseType="lpstr">
      <vt:lpstr/>
    </vt:vector>
  </TitlesOfParts>
  <Company>UOR</Company>
  <LinksUpToDate>false</LinksUpToDate>
  <CharactersWithSpaces>17623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dc:creator>
  <cp:lastModifiedBy>Luxshi Karunakaran</cp:lastModifiedBy>
  <cp:revision>13</cp:revision>
  <dcterms:created xsi:type="dcterms:W3CDTF">2025-07-16T13:19:00Z</dcterms:created>
  <dcterms:modified xsi:type="dcterms:W3CDTF">2025-08-22T07:01:00Z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9bb912f2-0a85-4744-8233-d769f9fda0d8</vt:lpwstr>
  </property>
</Properties>
</file>