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839B6" w14:textId="77777777" w:rsidR="009F1BAB" w:rsidRPr="009F1BAB" w:rsidRDefault="009F1BAB" w:rsidP="009F1BAB">
      <w:pPr>
        <w:pStyle w:val="Normal1"/>
        <w:spacing w:before="200" w:line="360" w:lineRule="auto"/>
        <w:jc w:val="center"/>
        <w:rPr>
          <w:b/>
          <w:sz w:val="28"/>
          <w:szCs w:val="28"/>
        </w:rPr>
      </w:pPr>
      <w:r w:rsidRPr="009F1BAB">
        <w:rPr>
          <w:b/>
          <w:sz w:val="28"/>
          <w:szCs w:val="28"/>
        </w:rPr>
        <w:t>Deep Learning-Based Classification of Acetabular Fractures in X-ray Images Using Pretrained Object Classification Models</w:t>
      </w:r>
    </w:p>
    <w:p w14:paraId="576B8DC4" w14:textId="107F0AFB" w:rsidR="00734F69" w:rsidRDefault="006609F1" w:rsidP="009F1BAB">
      <w:pPr>
        <w:pStyle w:val="Normal1"/>
        <w:spacing w:before="240" w:after="240" w:line="360" w:lineRule="auto"/>
        <w:rPr>
          <w:sz w:val="24"/>
          <w:szCs w:val="24"/>
        </w:rPr>
      </w:pPr>
      <w:r w:rsidRPr="006609F1">
        <w:rPr>
          <w:sz w:val="24"/>
          <w:szCs w:val="24"/>
        </w:rPr>
        <w:t>Acetabular fractures are a major health problem</w:t>
      </w:r>
      <w:r w:rsidR="00734F69">
        <w:rPr>
          <w:sz w:val="24"/>
          <w:szCs w:val="24"/>
        </w:rPr>
        <w:t>,</w:t>
      </w:r>
      <w:r w:rsidRPr="006609F1">
        <w:rPr>
          <w:sz w:val="24"/>
          <w:szCs w:val="24"/>
        </w:rPr>
        <w:t xml:space="preserve"> especially among trauma </w:t>
      </w:r>
      <w:r w:rsidR="00734F69">
        <w:rPr>
          <w:sz w:val="24"/>
          <w:szCs w:val="24"/>
        </w:rPr>
        <w:t xml:space="preserve">patients </w:t>
      </w:r>
      <w:r w:rsidRPr="006609F1">
        <w:rPr>
          <w:sz w:val="24"/>
          <w:szCs w:val="24"/>
        </w:rPr>
        <w:t>and the most aged patients who may experience high-energy impact on the hip joint socket</w:t>
      </w:r>
      <w:r w:rsidR="00734F69">
        <w:rPr>
          <w:sz w:val="24"/>
          <w:szCs w:val="24"/>
        </w:rPr>
        <w:t>,</w:t>
      </w:r>
      <w:r w:rsidRPr="006609F1">
        <w:rPr>
          <w:sz w:val="24"/>
          <w:szCs w:val="24"/>
        </w:rPr>
        <w:t xml:space="preserve"> resulting in serious complications</w:t>
      </w:r>
      <w:r w:rsidR="00734F69">
        <w:rPr>
          <w:sz w:val="24"/>
          <w:szCs w:val="24"/>
        </w:rPr>
        <w:t>,</w:t>
      </w:r>
      <w:r w:rsidRPr="006609F1">
        <w:rPr>
          <w:sz w:val="24"/>
          <w:szCs w:val="24"/>
        </w:rPr>
        <w:t xml:space="preserve"> including avascular necrosis, joint instability, persistent pain, and loss of mobility. Timely and correct classification is essential in the treatment, whether conservative or surgical intervention, but manual diagnosis by X-rays is characterized by high misdiagnosis rates (up to 9% because of subtle fracture lines, imaging variability, and clinician fatigue). The paper uses deep learning to classify acetabular fractures with X-rays in Sri Lankan hospital settings, highlighting its significance also in resource-constrained institutions in </w:t>
      </w:r>
      <w:r w:rsidR="00734F69" w:rsidRPr="006609F1">
        <w:rPr>
          <w:sz w:val="24"/>
          <w:szCs w:val="24"/>
        </w:rPr>
        <w:t>minimizing</w:t>
      </w:r>
      <w:r w:rsidRPr="006609F1">
        <w:rPr>
          <w:sz w:val="24"/>
          <w:szCs w:val="24"/>
        </w:rPr>
        <w:t xml:space="preserve"> mistakes and simplifying operations. A set of close to 1,000 images, which include five types of fractures (anterior wall, posterior wall, transverse, column, and both-column) along with </w:t>
      </w:r>
      <w:r w:rsidR="00734F69" w:rsidRPr="006609F1">
        <w:rPr>
          <w:sz w:val="24"/>
          <w:szCs w:val="24"/>
        </w:rPr>
        <w:t>normal</w:t>
      </w:r>
      <w:r w:rsidR="00734F69">
        <w:rPr>
          <w:sz w:val="24"/>
          <w:szCs w:val="24"/>
        </w:rPr>
        <w:t>,</w:t>
      </w:r>
      <w:r w:rsidRPr="006609F1">
        <w:rPr>
          <w:sz w:val="24"/>
          <w:szCs w:val="24"/>
        </w:rPr>
        <w:t xml:space="preserve"> were preprocessed with normalization and augmented using flips </w:t>
      </w:r>
      <w:r w:rsidR="00734F69">
        <w:rPr>
          <w:sz w:val="24"/>
          <w:szCs w:val="24"/>
        </w:rPr>
        <w:t xml:space="preserve">and </w:t>
      </w:r>
      <w:r w:rsidRPr="006609F1">
        <w:rPr>
          <w:sz w:val="24"/>
          <w:szCs w:val="24"/>
        </w:rPr>
        <w:t>rotations</w:t>
      </w:r>
      <w:r w:rsidR="00734F69">
        <w:rPr>
          <w:sz w:val="24"/>
          <w:szCs w:val="24"/>
        </w:rPr>
        <w:t xml:space="preserve">. </w:t>
      </w:r>
      <w:r w:rsidRPr="006609F1">
        <w:rPr>
          <w:sz w:val="24"/>
          <w:szCs w:val="24"/>
        </w:rPr>
        <w:t>Fine-tuning was performed on pre-trained models such as custom CNN, InceptionV3, ResNet-50</w:t>
      </w:r>
      <w:r w:rsidR="00734F69">
        <w:rPr>
          <w:sz w:val="24"/>
          <w:szCs w:val="24"/>
        </w:rPr>
        <w:t>, and ResNet</w:t>
      </w:r>
      <w:r w:rsidRPr="006609F1">
        <w:rPr>
          <w:sz w:val="24"/>
          <w:szCs w:val="24"/>
        </w:rPr>
        <w:t>101</w:t>
      </w:r>
      <w:r w:rsidR="00734F69">
        <w:rPr>
          <w:sz w:val="24"/>
          <w:szCs w:val="24"/>
        </w:rPr>
        <w:t xml:space="preserve">. ResNet101 had the </w:t>
      </w:r>
      <w:r w:rsidRPr="006609F1">
        <w:rPr>
          <w:sz w:val="24"/>
          <w:szCs w:val="24"/>
        </w:rPr>
        <w:t>highest accuracy of 80</w:t>
      </w:r>
      <w:r w:rsidR="00734F69">
        <w:rPr>
          <w:sz w:val="24"/>
          <w:szCs w:val="24"/>
        </w:rPr>
        <w:t>%</w:t>
      </w:r>
      <w:r w:rsidRPr="006609F1">
        <w:rPr>
          <w:sz w:val="24"/>
          <w:szCs w:val="24"/>
        </w:rPr>
        <w:t xml:space="preserve">, surpassing custom models and even competing with experts. Such findings highlight the potential of AI to revolutionize diagnostic accuracy, predictive value, and clinical utility, </w:t>
      </w:r>
      <w:r w:rsidR="00734F69">
        <w:rPr>
          <w:sz w:val="24"/>
          <w:szCs w:val="24"/>
        </w:rPr>
        <w:t>overcoming</w:t>
      </w:r>
      <w:r w:rsidRPr="006609F1">
        <w:rPr>
          <w:sz w:val="24"/>
          <w:szCs w:val="24"/>
        </w:rPr>
        <w:t xml:space="preserve"> such drawbacks as imbalance and bias in the data using future ensembles and multi-bone models (pelvic + hip + femoral).</w:t>
      </w:r>
    </w:p>
    <w:p w14:paraId="52A81D19" w14:textId="7994AADB" w:rsidR="009F1BAB" w:rsidRPr="00734F69" w:rsidRDefault="00CB33DB" w:rsidP="009F1BAB">
      <w:pPr>
        <w:pStyle w:val="Normal1"/>
        <w:spacing w:before="240" w:after="240" w:line="360" w:lineRule="auto"/>
        <w:rPr>
          <w:sz w:val="24"/>
          <w:szCs w:val="24"/>
        </w:rPr>
      </w:pPr>
      <w:r>
        <w:rPr>
          <w:b/>
          <w:sz w:val="22"/>
          <w:szCs w:val="22"/>
        </w:rPr>
        <w:t>Keywords</w:t>
      </w:r>
      <w:r>
        <w:rPr>
          <w:sz w:val="22"/>
          <w:szCs w:val="22"/>
        </w:rPr>
        <w:t xml:space="preserve">: </w:t>
      </w:r>
      <w:r w:rsidR="009F1BAB" w:rsidRPr="009F1BAB">
        <w:rPr>
          <w:i/>
          <w:sz w:val="22"/>
          <w:szCs w:val="22"/>
        </w:rPr>
        <w:t xml:space="preserve">Acetabular </w:t>
      </w:r>
      <w:r w:rsidR="009F1BAB">
        <w:rPr>
          <w:i/>
          <w:sz w:val="22"/>
          <w:szCs w:val="22"/>
        </w:rPr>
        <w:t>f</w:t>
      </w:r>
      <w:r w:rsidR="009F1BAB" w:rsidRPr="009F1BAB">
        <w:rPr>
          <w:i/>
          <w:sz w:val="22"/>
          <w:szCs w:val="22"/>
        </w:rPr>
        <w:t xml:space="preserve">racture, Deep </w:t>
      </w:r>
      <w:r w:rsidR="009F1BAB">
        <w:rPr>
          <w:i/>
          <w:sz w:val="22"/>
          <w:szCs w:val="22"/>
        </w:rPr>
        <w:t>l</w:t>
      </w:r>
      <w:r w:rsidR="009F1BAB" w:rsidRPr="009F1BAB">
        <w:rPr>
          <w:i/>
          <w:sz w:val="22"/>
          <w:szCs w:val="22"/>
        </w:rPr>
        <w:t>earning, X-</w:t>
      </w:r>
      <w:r w:rsidR="009F1BAB">
        <w:rPr>
          <w:i/>
          <w:sz w:val="22"/>
          <w:szCs w:val="22"/>
        </w:rPr>
        <w:t>r</w:t>
      </w:r>
      <w:r w:rsidR="009F1BAB" w:rsidRPr="009F1BAB">
        <w:rPr>
          <w:i/>
          <w:sz w:val="22"/>
          <w:szCs w:val="22"/>
        </w:rPr>
        <w:t xml:space="preserve">ay, Resnet101, Medical </w:t>
      </w:r>
      <w:r w:rsidR="009F1BAB">
        <w:rPr>
          <w:i/>
          <w:sz w:val="22"/>
          <w:szCs w:val="22"/>
        </w:rPr>
        <w:t>i</w:t>
      </w:r>
      <w:r w:rsidR="009F1BAB" w:rsidRPr="009F1BAB">
        <w:rPr>
          <w:i/>
          <w:sz w:val="22"/>
          <w:szCs w:val="22"/>
        </w:rPr>
        <w:t>maging, Classification</w:t>
      </w:r>
    </w:p>
    <w:p w14:paraId="1634EDC0" w14:textId="77777777" w:rsidR="00734F69" w:rsidRDefault="0039629C" w:rsidP="0039629C">
      <w:pPr>
        <w:pStyle w:val="Normal1"/>
        <w:spacing w:before="240" w:after="240" w:line="360" w:lineRule="auto"/>
        <w:rPr>
          <w:b/>
          <w:bCs/>
          <w:iCs/>
          <w:sz w:val="24"/>
          <w:szCs w:val="24"/>
        </w:rPr>
      </w:pPr>
      <w:r w:rsidRPr="0039629C">
        <w:rPr>
          <w:b/>
          <w:bCs/>
          <w:iCs/>
          <w:sz w:val="24"/>
          <w:szCs w:val="24"/>
        </w:rPr>
        <w:t>Introduction</w:t>
      </w:r>
    </w:p>
    <w:p w14:paraId="5A68F4D8" w14:textId="05172F95" w:rsidR="0039629C" w:rsidRPr="00734F69" w:rsidRDefault="0039629C" w:rsidP="0039629C">
      <w:pPr>
        <w:pStyle w:val="Normal1"/>
        <w:spacing w:before="240" w:after="240" w:line="360" w:lineRule="auto"/>
        <w:rPr>
          <w:b/>
          <w:bCs/>
          <w:iCs/>
          <w:sz w:val="24"/>
          <w:szCs w:val="24"/>
        </w:rPr>
      </w:pPr>
      <w:r w:rsidRPr="0039629C">
        <w:rPr>
          <w:iCs/>
          <w:sz w:val="24"/>
          <w:szCs w:val="24"/>
        </w:rPr>
        <w:t xml:space="preserve">Acetabular fractures occur in the hip socket, caused by trauma or pathology, leading to mobility loss and complications like necrosis. Clinically important for joint stability, they require precise imaging diagnosis. Manual detection faces challenges like subtle lines and misdiagnosis (9%). </w:t>
      </w:r>
      <w:r w:rsidR="003338B8">
        <w:rPr>
          <w:iCs/>
          <w:sz w:val="24"/>
          <w:szCs w:val="24"/>
        </w:rPr>
        <w:t>This study is motivated by AI for automated and</w:t>
      </w:r>
      <w:r w:rsidRPr="0039629C">
        <w:rPr>
          <w:iCs/>
          <w:sz w:val="24"/>
          <w:szCs w:val="24"/>
        </w:rPr>
        <w:t xml:space="preserve"> accurate classification using pre-trained models.</w:t>
      </w:r>
    </w:p>
    <w:p w14:paraId="7618B39A" w14:textId="30B14B58" w:rsidR="0039629C" w:rsidRDefault="00734F69" w:rsidP="0039629C">
      <w:pPr>
        <w:pStyle w:val="Normal1"/>
        <w:spacing w:before="240" w:after="240" w:line="360" w:lineRule="auto"/>
        <w:rPr>
          <w:b/>
          <w:bCs/>
          <w:iCs/>
          <w:sz w:val="24"/>
          <w:szCs w:val="24"/>
        </w:rPr>
      </w:pPr>
      <w:r w:rsidRPr="00734F69">
        <w:rPr>
          <w:b/>
          <w:bCs/>
          <w:iCs/>
          <w:sz w:val="24"/>
          <w:szCs w:val="24"/>
        </w:rPr>
        <w:lastRenderedPageBreak/>
        <w:drawing>
          <wp:anchor distT="0" distB="0" distL="114300" distR="114300" simplePos="0" relativeHeight="251667456" behindDoc="0" locked="0" layoutInCell="1" allowOverlap="1" wp14:anchorId="07FE3D85" wp14:editId="0F54F313">
            <wp:simplePos x="0" y="0"/>
            <wp:positionH relativeFrom="column">
              <wp:posOffset>1212768</wp:posOffset>
            </wp:positionH>
            <wp:positionV relativeFrom="paragraph">
              <wp:posOffset>179070</wp:posOffset>
            </wp:positionV>
            <wp:extent cx="3129444" cy="1264920"/>
            <wp:effectExtent l="0" t="0" r="0" b="0"/>
            <wp:wrapSquare wrapText="bothSides"/>
            <wp:docPr id="33237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72276" name=""/>
                    <pic:cNvPicPr/>
                  </pic:nvPicPr>
                  <pic:blipFill>
                    <a:blip r:embed="rId7"/>
                    <a:stretch>
                      <a:fillRect/>
                    </a:stretch>
                  </pic:blipFill>
                  <pic:spPr>
                    <a:xfrm>
                      <a:off x="0" y="0"/>
                      <a:ext cx="3130011" cy="1265149"/>
                    </a:xfrm>
                    <a:prstGeom prst="rect">
                      <a:avLst/>
                    </a:prstGeom>
                  </pic:spPr>
                </pic:pic>
              </a:graphicData>
            </a:graphic>
            <wp14:sizeRelH relativeFrom="page">
              <wp14:pctWidth>0</wp14:pctWidth>
            </wp14:sizeRelH>
            <wp14:sizeRelV relativeFrom="page">
              <wp14:pctHeight>0</wp14:pctHeight>
            </wp14:sizeRelV>
          </wp:anchor>
        </w:drawing>
      </w:r>
      <w:r w:rsidR="0039629C" w:rsidRPr="0039629C">
        <w:rPr>
          <w:b/>
          <w:bCs/>
          <w:iCs/>
          <w:sz w:val="24"/>
          <w:szCs w:val="24"/>
        </w:rPr>
        <w:t xml:space="preserve">Methodology </w:t>
      </w:r>
    </w:p>
    <w:p w14:paraId="23A1E579" w14:textId="6C3B0EBD" w:rsidR="003338B8" w:rsidRPr="0039629C" w:rsidRDefault="003338B8" w:rsidP="0039629C">
      <w:pPr>
        <w:pStyle w:val="Normal1"/>
        <w:spacing w:before="240" w:after="240" w:line="360" w:lineRule="auto"/>
        <w:rPr>
          <w:b/>
          <w:bCs/>
          <w:iCs/>
          <w:sz w:val="24"/>
          <w:szCs w:val="24"/>
        </w:rPr>
      </w:pPr>
    </w:p>
    <w:p w14:paraId="77B7D244" w14:textId="5408BD4F" w:rsidR="003338B8" w:rsidRDefault="00734F69" w:rsidP="0039629C">
      <w:pPr>
        <w:pStyle w:val="Normal1"/>
        <w:spacing w:before="240" w:after="240" w:line="360" w:lineRule="auto"/>
        <w:rPr>
          <w:b/>
          <w:bCs/>
          <w:iCs/>
          <w:sz w:val="24"/>
          <w:szCs w:val="24"/>
        </w:rPr>
      </w:pPr>
      <w:r>
        <w:rPr>
          <w:noProof/>
        </w:rPr>
        <mc:AlternateContent>
          <mc:Choice Requires="wps">
            <w:drawing>
              <wp:anchor distT="0" distB="0" distL="114300" distR="114300" simplePos="0" relativeHeight="251664384" behindDoc="0" locked="0" layoutInCell="1" allowOverlap="1" wp14:anchorId="12399880" wp14:editId="6C800471">
                <wp:simplePos x="0" y="0"/>
                <wp:positionH relativeFrom="column">
                  <wp:posOffset>160020</wp:posOffset>
                </wp:positionH>
                <wp:positionV relativeFrom="paragraph">
                  <wp:posOffset>598170</wp:posOffset>
                </wp:positionV>
                <wp:extent cx="5006340" cy="635"/>
                <wp:effectExtent l="0" t="0" r="0" b="0"/>
                <wp:wrapSquare wrapText="bothSides"/>
                <wp:docPr id="290305585" name="Text Box 1"/>
                <wp:cNvGraphicFramePr/>
                <a:graphic xmlns:a="http://schemas.openxmlformats.org/drawingml/2006/main">
                  <a:graphicData uri="http://schemas.microsoft.com/office/word/2010/wordprocessingShape">
                    <wps:wsp>
                      <wps:cNvSpPr txBox="1"/>
                      <wps:spPr>
                        <a:xfrm>
                          <a:off x="0" y="0"/>
                          <a:ext cx="5006340" cy="635"/>
                        </a:xfrm>
                        <a:prstGeom prst="rect">
                          <a:avLst/>
                        </a:prstGeom>
                        <a:solidFill>
                          <a:prstClr val="white"/>
                        </a:solidFill>
                        <a:ln>
                          <a:noFill/>
                        </a:ln>
                      </wps:spPr>
                      <wps:txbx>
                        <w:txbxContent>
                          <w:p w14:paraId="74D72124" w14:textId="20102F94" w:rsidR="003338B8" w:rsidRPr="004C76DD" w:rsidRDefault="003338B8" w:rsidP="003338B8">
                            <w:pPr>
                              <w:pStyle w:val="Caption"/>
                              <w:jc w:val="center"/>
                              <w:rPr>
                                <w:b/>
                                <w:bCs/>
                                <w:i w:val="0"/>
                                <w:iCs w:val="0"/>
                                <w:color w:val="000000" w:themeColor="text1"/>
                                <w:sz w:val="20"/>
                                <w:szCs w:val="20"/>
                              </w:rPr>
                            </w:pPr>
                            <w:r w:rsidRPr="004C76DD">
                              <w:rPr>
                                <w:i w:val="0"/>
                                <w:iCs w:val="0"/>
                                <w:color w:val="000000" w:themeColor="text1"/>
                                <w:sz w:val="20"/>
                                <w:szCs w:val="20"/>
                              </w:rPr>
                              <w:t xml:space="preserve">Figure </w:t>
                            </w:r>
                            <w:r w:rsidRPr="004C76DD">
                              <w:rPr>
                                <w:i w:val="0"/>
                                <w:iCs w:val="0"/>
                                <w:color w:val="000000" w:themeColor="text1"/>
                                <w:sz w:val="20"/>
                                <w:szCs w:val="20"/>
                              </w:rPr>
                              <w:fldChar w:fldCharType="begin"/>
                            </w:r>
                            <w:r w:rsidRPr="004C76DD">
                              <w:rPr>
                                <w:i w:val="0"/>
                                <w:iCs w:val="0"/>
                                <w:color w:val="000000" w:themeColor="text1"/>
                                <w:sz w:val="20"/>
                                <w:szCs w:val="20"/>
                              </w:rPr>
                              <w:instrText xml:space="preserve"> SEQ Figure \* ARABIC </w:instrText>
                            </w:r>
                            <w:r w:rsidRPr="004C76DD">
                              <w:rPr>
                                <w:i w:val="0"/>
                                <w:iCs w:val="0"/>
                                <w:color w:val="000000" w:themeColor="text1"/>
                                <w:sz w:val="20"/>
                                <w:szCs w:val="20"/>
                              </w:rPr>
                              <w:fldChar w:fldCharType="separate"/>
                            </w:r>
                            <w:r w:rsidRPr="004C76DD">
                              <w:rPr>
                                <w:i w:val="0"/>
                                <w:iCs w:val="0"/>
                                <w:noProof/>
                                <w:color w:val="000000" w:themeColor="text1"/>
                                <w:sz w:val="20"/>
                                <w:szCs w:val="20"/>
                              </w:rPr>
                              <w:t>1</w:t>
                            </w:r>
                            <w:r w:rsidRPr="004C76DD">
                              <w:rPr>
                                <w:i w:val="0"/>
                                <w:iCs w:val="0"/>
                                <w:color w:val="000000" w:themeColor="text1"/>
                                <w:sz w:val="20"/>
                                <w:szCs w:val="20"/>
                              </w:rPr>
                              <w:fldChar w:fldCharType="end"/>
                            </w:r>
                            <w:r w:rsidRPr="004C76DD">
                              <w:rPr>
                                <w:i w:val="0"/>
                                <w:iCs w:val="0"/>
                                <w:color w:val="000000" w:themeColor="text1"/>
                                <w:sz w:val="20"/>
                                <w:szCs w:val="20"/>
                              </w:rPr>
                              <w:t>: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399880" id="_x0000_t202" coordsize="21600,21600" o:spt="202" path="m,l,21600r21600,l21600,xe">
                <v:stroke joinstyle="miter"/>
                <v:path gradientshapeok="t" o:connecttype="rect"/>
              </v:shapetype>
              <v:shape id="Text Box 1" o:spid="_x0000_s1026" type="#_x0000_t202" style="position:absolute;left:0;text-align:left;margin-left:12.6pt;margin-top:47.1pt;width:39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" stroked="f">
                <v:textbox style="mso-fit-shape-to-text:t" inset="0,0,0,0">
                  <w:txbxContent>
                    <w:p w14:paraId="74D72124" w14:textId="20102F94" w:rsidR="003338B8" w:rsidRPr="004C76DD" w:rsidRDefault="003338B8" w:rsidP="003338B8">
                      <w:pPr>
                        <w:pStyle w:val="Caption"/>
                        <w:jc w:val="center"/>
                        <w:rPr>
                          <w:b/>
                          <w:bCs/>
                          <w:i w:val="0"/>
                          <w:iCs w:val="0"/>
                          <w:color w:val="000000" w:themeColor="text1"/>
                          <w:sz w:val="20"/>
                          <w:szCs w:val="20"/>
                        </w:rPr>
                      </w:pPr>
                      <w:r w:rsidRPr="004C76DD">
                        <w:rPr>
                          <w:i w:val="0"/>
                          <w:iCs w:val="0"/>
                          <w:color w:val="000000" w:themeColor="text1"/>
                          <w:sz w:val="20"/>
                          <w:szCs w:val="20"/>
                        </w:rPr>
                        <w:t xml:space="preserve">Figure </w:t>
                      </w:r>
                      <w:r w:rsidRPr="004C76DD">
                        <w:rPr>
                          <w:i w:val="0"/>
                          <w:iCs w:val="0"/>
                          <w:color w:val="000000" w:themeColor="text1"/>
                          <w:sz w:val="20"/>
                          <w:szCs w:val="20"/>
                        </w:rPr>
                        <w:fldChar w:fldCharType="begin"/>
                      </w:r>
                      <w:r w:rsidRPr="004C76DD">
                        <w:rPr>
                          <w:i w:val="0"/>
                          <w:iCs w:val="0"/>
                          <w:color w:val="000000" w:themeColor="text1"/>
                          <w:sz w:val="20"/>
                          <w:szCs w:val="20"/>
                        </w:rPr>
                        <w:instrText xml:space="preserve"> SEQ Figure \* ARABIC </w:instrText>
                      </w:r>
                      <w:r w:rsidRPr="004C76DD">
                        <w:rPr>
                          <w:i w:val="0"/>
                          <w:iCs w:val="0"/>
                          <w:color w:val="000000" w:themeColor="text1"/>
                          <w:sz w:val="20"/>
                          <w:szCs w:val="20"/>
                        </w:rPr>
                        <w:fldChar w:fldCharType="separate"/>
                      </w:r>
                      <w:r w:rsidRPr="004C76DD">
                        <w:rPr>
                          <w:i w:val="0"/>
                          <w:iCs w:val="0"/>
                          <w:noProof/>
                          <w:color w:val="000000" w:themeColor="text1"/>
                          <w:sz w:val="20"/>
                          <w:szCs w:val="20"/>
                        </w:rPr>
                        <w:t>1</w:t>
                      </w:r>
                      <w:r w:rsidRPr="004C76DD">
                        <w:rPr>
                          <w:i w:val="0"/>
                          <w:iCs w:val="0"/>
                          <w:color w:val="000000" w:themeColor="text1"/>
                          <w:sz w:val="20"/>
                          <w:szCs w:val="20"/>
                        </w:rPr>
                        <w:fldChar w:fldCharType="end"/>
                      </w:r>
                      <w:r w:rsidRPr="004C76DD">
                        <w:rPr>
                          <w:i w:val="0"/>
                          <w:iCs w:val="0"/>
                          <w:color w:val="000000" w:themeColor="text1"/>
                          <w:sz w:val="20"/>
                          <w:szCs w:val="20"/>
                        </w:rPr>
                        <w:t>: High level architecture</w:t>
                      </w:r>
                    </w:p>
                  </w:txbxContent>
                </v:textbox>
                <w10:wrap type="square"/>
              </v:shape>
            </w:pict>
          </mc:Fallback>
        </mc:AlternateContent>
      </w:r>
    </w:p>
    <w:p w14:paraId="683B58B6" w14:textId="1FE2CBB6" w:rsidR="0039629C" w:rsidRPr="0039629C" w:rsidRDefault="0039629C" w:rsidP="0039629C">
      <w:pPr>
        <w:pStyle w:val="Normal1"/>
        <w:spacing w:before="240" w:after="240" w:line="360" w:lineRule="auto"/>
        <w:rPr>
          <w:b/>
          <w:bCs/>
          <w:iCs/>
          <w:sz w:val="24"/>
          <w:szCs w:val="24"/>
        </w:rPr>
      </w:pPr>
      <w:r w:rsidRPr="0039629C">
        <w:rPr>
          <w:b/>
          <w:bCs/>
          <w:iCs/>
          <w:sz w:val="24"/>
          <w:szCs w:val="24"/>
        </w:rPr>
        <w:t>Results and discussion</w:t>
      </w:r>
    </w:p>
    <w:p w14:paraId="36B0D0D3" w14:textId="534DDC39" w:rsidR="003338B8" w:rsidRPr="004C76DD" w:rsidRDefault="003338B8" w:rsidP="003338B8">
      <w:pPr>
        <w:pStyle w:val="Caption"/>
        <w:keepNext/>
        <w:jc w:val="center"/>
        <w:rPr>
          <w:i w:val="0"/>
          <w:iCs w:val="0"/>
          <w:color w:val="000000" w:themeColor="text1"/>
          <w:sz w:val="20"/>
          <w:szCs w:val="20"/>
        </w:rPr>
      </w:pPr>
      <w:r w:rsidRPr="004C76DD">
        <w:rPr>
          <w:i w:val="0"/>
          <w:iCs w:val="0"/>
          <w:color w:val="000000" w:themeColor="text1"/>
          <w:sz w:val="20"/>
          <w:szCs w:val="20"/>
        </w:rPr>
        <w:t xml:space="preserve">Table </w:t>
      </w:r>
      <w:r w:rsidRPr="004C76DD">
        <w:rPr>
          <w:i w:val="0"/>
          <w:iCs w:val="0"/>
          <w:color w:val="000000" w:themeColor="text1"/>
          <w:sz w:val="20"/>
          <w:szCs w:val="20"/>
        </w:rPr>
        <w:fldChar w:fldCharType="begin"/>
      </w:r>
      <w:r w:rsidRPr="004C76DD">
        <w:rPr>
          <w:i w:val="0"/>
          <w:iCs w:val="0"/>
          <w:color w:val="000000" w:themeColor="text1"/>
          <w:sz w:val="20"/>
          <w:szCs w:val="20"/>
        </w:rPr>
        <w:instrText xml:space="preserve"> SEQ Table \* ARABIC </w:instrText>
      </w:r>
      <w:r w:rsidRPr="004C76DD">
        <w:rPr>
          <w:i w:val="0"/>
          <w:iCs w:val="0"/>
          <w:color w:val="000000" w:themeColor="text1"/>
          <w:sz w:val="20"/>
          <w:szCs w:val="20"/>
        </w:rPr>
        <w:fldChar w:fldCharType="separate"/>
      </w:r>
      <w:r w:rsidRPr="004C76DD">
        <w:rPr>
          <w:i w:val="0"/>
          <w:iCs w:val="0"/>
          <w:noProof/>
          <w:color w:val="000000" w:themeColor="text1"/>
          <w:sz w:val="20"/>
          <w:szCs w:val="20"/>
        </w:rPr>
        <w:t>1</w:t>
      </w:r>
      <w:r w:rsidRPr="004C76DD">
        <w:rPr>
          <w:i w:val="0"/>
          <w:iCs w:val="0"/>
          <w:color w:val="000000" w:themeColor="text1"/>
          <w:sz w:val="20"/>
          <w:szCs w:val="20"/>
        </w:rPr>
        <w:fldChar w:fldCharType="end"/>
      </w:r>
      <w:r w:rsidRPr="004C76DD">
        <w:rPr>
          <w:i w:val="0"/>
          <w:iCs w:val="0"/>
          <w:color w:val="000000" w:themeColor="text1"/>
          <w:sz w:val="20"/>
          <w:szCs w:val="20"/>
        </w:rPr>
        <w:t xml:space="preserve">: Evaluation metrics of </w:t>
      </w:r>
      <w:r w:rsidRPr="0039629C">
        <w:rPr>
          <w:i w:val="0"/>
          <w:iCs w:val="0"/>
          <w:color w:val="000000" w:themeColor="text1"/>
          <w:sz w:val="20"/>
          <w:szCs w:val="20"/>
        </w:rPr>
        <w:t xml:space="preserve">Acetabular fractures </w:t>
      </w:r>
    </w:p>
    <w:tbl>
      <w:tblPr>
        <w:tblStyle w:val="TableGrid"/>
        <w:tblW w:w="8100" w:type="dxa"/>
        <w:tblInd w:w="108" w:type="dxa"/>
        <w:tblLook w:val="04A0" w:firstRow="1" w:lastRow="0" w:firstColumn="1" w:lastColumn="0" w:noHBand="0" w:noVBand="1"/>
      </w:tblPr>
      <w:tblGrid>
        <w:gridCol w:w="1368"/>
        <w:gridCol w:w="1062"/>
        <w:gridCol w:w="1350"/>
        <w:gridCol w:w="1260"/>
        <w:gridCol w:w="1350"/>
        <w:gridCol w:w="1710"/>
      </w:tblGrid>
      <w:tr w:rsidR="004C76DD" w14:paraId="59969F52" w14:textId="77777777" w:rsidTr="004C76DD">
        <w:tc>
          <w:tcPr>
            <w:tcW w:w="1368" w:type="dxa"/>
          </w:tcPr>
          <w:p w14:paraId="1752F966" w14:textId="183AF0B9" w:rsidR="004C76DD" w:rsidRPr="004C76DD" w:rsidRDefault="004C76DD" w:rsidP="004C76DD">
            <w:pPr>
              <w:jc w:val="center"/>
              <w:rPr>
                <w:b/>
                <w:bCs/>
              </w:rPr>
            </w:pPr>
            <w:r w:rsidRPr="004C76DD">
              <w:rPr>
                <w:b/>
                <w:bCs/>
              </w:rPr>
              <w:t>Model</w:t>
            </w:r>
          </w:p>
        </w:tc>
        <w:tc>
          <w:tcPr>
            <w:tcW w:w="1062" w:type="dxa"/>
          </w:tcPr>
          <w:p w14:paraId="653679EC" w14:textId="064F729E" w:rsidR="004C76DD" w:rsidRPr="004C76DD" w:rsidRDefault="004C76DD" w:rsidP="004C76DD">
            <w:pPr>
              <w:jc w:val="center"/>
              <w:rPr>
                <w:b/>
                <w:bCs/>
              </w:rPr>
            </w:pPr>
            <w:r w:rsidRPr="004C76DD">
              <w:rPr>
                <w:b/>
                <w:bCs/>
              </w:rPr>
              <w:t>Accuracy</w:t>
            </w:r>
          </w:p>
        </w:tc>
        <w:tc>
          <w:tcPr>
            <w:tcW w:w="1350" w:type="dxa"/>
          </w:tcPr>
          <w:p w14:paraId="75F03197" w14:textId="756EDC91" w:rsidR="004C76DD" w:rsidRPr="004C76DD" w:rsidRDefault="004C76DD" w:rsidP="004C76DD">
            <w:pPr>
              <w:jc w:val="center"/>
              <w:rPr>
                <w:b/>
                <w:bCs/>
              </w:rPr>
            </w:pPr>
            <w:r w:rsidRPr="004C76DD">
              <w:rPr>
                <w:b/>
                <w:bCs/>
              </w:rPr>
              <w:t>Precision</w:t>
            </w:r>
          </w:p>
        </w:tc>
        <w:tc>
          <w:tcPr>
            <w:tcW w:w="1260" w:type="dxa"/>
          </w:tcPr>
          <w:p w14:paraId="1AAB6C69" w14:textId="5973E92F" w:rsidR="004C76DD" w:rsidRPr="004C76DD" w:rsidRDefault="004C76DD" w:rsidP="004C76DD">
            <w:pPr>
              <w:jc w:val="center"/>
              <w:rPr>
                <w:b/>
                <w:bCs/>
              </w:rPr>
            </w:pPr>
            <w:r w:rsidRPr="004C76DD">
              <w:rPr>
                <w:b/>
                <w:bCs/>
              </w:rPr>
              <w:t>Recall</w:t>
            </w:r>
          </w:p>
        </w:tc>
        <w:tc>
          <w:tcPr>
            <w:tcW w:w="1350" w:type="dxa"/>
          </w:tcPr>
          <w:p w14:paraId="3D6ACA0B" w14:textId="6B784EBB" w:rsidR="004C76DD" w:rsidRPr="004C76DD" w:rsidRDefault="004C76DD" w:rsidP="004C76DD">
            <w:pPr>
              <w:jc w:val="center"/>
              <w:rPr>
                <w:b/>
                <w:bCs/>
              </w:rPr>
            </w:pPr>
            <w:r w:rsidRPr="004C76DD">
              <w:rPr>
                <w:b/>
                <w:bCs/>
              </w:rPr>
              <w:t>F1-score</w:t>
            </w:r>
          </w:p>
        </w:tc>
        <w:tc>
          <w:tcPr>
            <w:tcW w:w="1710" w:type="dxa"/>
          </w:tcPr>
          <w:p w14:paraId="44D5CFED" w14:textId="26FBAAAC" w:rsidR="004C76DD" w:rsidRPr="004C76DD" w:rsidRDefault="004C76DD" w:rsidP="004C76DD">
            <w:pPr>
              <w:jc w:val="center"/>
              <w:rPr>
                <w:b/>
                <w:bCs/>
              </w:rPr>
            </w:pPr>
            <w:r w:rsidRPr="004C76DD">
              <w:rPr>
                <w:b/>
                <w:bCs/>
              </w:rPr>
              <w:t>Training time (s)</w:t>
            </w:r>
          </w:p>
        </w:tc>
      </w:tr>
      <w:tr w:rsidR="004C76DD" w14:paraId="6E43A8EB" w14:textId="77777777" w:rsidTr="004C76DD">
        <w:tc>
          <w:tcPr>
            <w:tcW w:w="1368" w:type="dxa"/>
          </w:tcPr>
          <w:p w14:paraId="7FD42A9F" w14:textId="2EE80C86" w:rsidR="004C76DD" w:rsidRDefault="004C76DD" w:rsidP="004C76DD">
            <w:r>
              <w:t>Custom CNN</w:t>
            </w:r>
          </w:p>
        </w:tc>
        <w:tc>
          <w:tcPr>
            <w:tcW w:w="1062" w:type="dxa"/>
          </w:tcPr>
          <w:p w14:paraId="097416DE" w14:textId="26324364" w:rsidR="004C76DD" w:rsidRDefault="004C76DD" w:rsidP="004C76DD">
            <w:pPr>
              <w:jc w:val="center"/>
            </w:pPr>
            <w:r w:rsidRPr="0039629C">
              <w:rPr>
                <w:iCs/>
              </w:rPr>
              <w:t>0.6643</w:t>
            </w:r>
          </w:p>
        </w:tc>
        <w:tc>
          <w:tcPr>
            <w:tcW w:w="1350" w:type="dxa"/>
          </w:tcPr>
          <w:p w14:paraId="459DF4ED" w14:textId="715025BF" w:rsidR="004C76DD" w:rsidRDefault="004C76DD" w:rsidP="004C76DD">
            <w:pPr>
              <w:jc w:val="center"/>
            </w:pPr>
            <w:r w:rsidRPr="0039629C">
              <w:rPr>
                <w:iCs/>
              </w:rPr>
              <w:t>0.6800</w:t>
            </w:r>
          </w:p>
        </w:tc>
        <w:tc>
          <w:tcPr>
            <w:tcW w:w="1260" w:type="dxa"/>
          </w:tcPr>
          <w:p w14:paraId="57C9FD5D" w14:textId="2AC50919" w:rsidR="004C76DD" w:rsidRDefault="004C76DD" w:rsidP="004C76DD">
            <w:pPr>
              <w:jc w:val="center"/>
            </w:pPr>
            <w:r w:rsidRPr="0039629C">
              <w:rPr>
                <w:iCs/>
              </w:rPr>
              <w:t>0.6643</w:t>
            </w:r>
          </w:p>
        </w:tc>
        <w:tc>
          <w:tcPr>
            <w:tcW w:w="1350" w:type="dxa"/>
          </w:tcPr>
          <w:p w14:paraId="7B09CDBF" w14:textId="63FACF88" w:rsidR="004C76DD" w:rsidRDefault="004C76DD" w:rsidP="004C76DD">
            <w:pPr>
              <w:jc w:val="center"/>
            </w:pPr>
            <w:r w:rsidRPr="0039629C">
              <w:rPr>
                <w:iCs/>
              </w:rPr>
              <w:t>0.6721</w:t>
            </w:r>
          </w:p>
        </w:tc>
        <w:tc>
          <w:tcPr>
            <w:tcW w:w="1710" w:type="dxa"/>
          </w:tcPr>
          <w:p w14:paraId="422706FB" w14:textId="27F8913D" w:rsidR="004C76DD" w:rsidRDefault="004C76DD" w:rsidP="004C76DD">
            <w:pPr>
              <w:jc w:val="center"/>
            </w:pPr>
            <w:r w:rsidRPr="0039629C">
              <w:rPr>
                <w:iCs/>
              </w:rPr>
              <w:t>762.40</w:t>
            </w:r>
          </w:p>
        </w:tc>
      </w:tr>
      <w:tr w:rsidR="004C76DD" w14:paraId="0193663C" w14:textId="77777777" w:rsidTr="004C76DD">
        <w:tc>
          <w:tcPr>
            <w:tcW w:w="1368" w:type="dxa"/>
          </w:tcPr>
          <w:p w14:paraId="17A09667" w14:textId="18AE27EF" w:rsidR="004C76DD" w:rsidRDefault="004C76DD" w:rsidP="004C76DD">
            <w:r>
              <w:t>InceptionV3</w:t>
            </w:r>
          </w:p>
        </w:tc>
        <w:tc>
          <w:tcPr>
            <w:tcW w:w="1062" w:type="dxa"/>
          </w:tcPr>
          <w:p w14:paraId="06B6A997" w14:textId="38853A48" w:rsidR="004C76DD" w:rsidRDefault="004C76DD" w:rsidP="004C76DD">
            <w:pPr>
              <w:jc w:val="center"/>
            </w:pPr>
            <w:r w:rsidRPr="0039629C">
              <w:rPr>
                <w:iCs/>
              </w:rPr>
              <w:t>0.7500</w:t>
            </w:r>
          </w:p>
        </w:tc>
        <w:tc>
          <w:tcPr>
            <w:tcW w:w="1350" w:type="dxa"/>
          </w:tcPr>
          <w:p w14:paraId="2894B3DD" w14:textId="6A19A8F5" w:rsidR="004C76DD" w:rsidRDefault="004C76DD" w:rsidP="004C76DD">
            <w:pPr>
              <w:jc w:val="center"/>
            </w:pPr>
            <w:r w:rsidRPr="0039629C">
              <w:rPr>
                <w:iCs/>
              </w:rPr>
              <w:t>0.7684</w:t>
            </w:r>
          </w:p>
        </w:tc>
        <w:tc>
          <w:tcPr>
            <w:tcW w:w="1260" w:type="dxa"/>
          </w:tcPr>
          <w:p w14:paraId="6BC4ECFD" w14:textId="75739FCF" w:rsidR="004C76DD" w:rsidRDefault="004C76DD" w:rsidP="004C76DD">
            <w:pPr>
              <w:jc w:val="center"/>
            </w:pPr>
            <w:r w:rsidRPr="0039629C">
              <w:rPr>
                <w:iCs/>
              </w:rPr>
              <w:t>0.7500</w:t>
            </w:r>
          </w:p>
        </w:tc>
        <w:tc>
          <w:tcPr>
            <w:tcW w:w="1350" w:type="dxa"/>
          </w:tcPr>
          <w:p w14:paraId="7CC49F97" w14:textId="6FC6BC1C" w:rsidR="004C76DD" w:rsidRDefault="004C76DD" w:rsidP="004C76DD">
            <w:pPr>
              <w:jc w:val="center"/>
            </w:pPr>
            <w:r w:rsidRPr="0039629C">
              <w:rPr>
                <w:iCs/>
              </w:rPr>
              <w:t>0.7591</w:t>
            </w:r>
          </w:p>
        </w:tc>
        <w:tc>
          <w:tcPr>
            <w:tcW w:w="1710" w:type="dxa"/>
          </w:tcPr>
          <w:p w14:paraId="1E2B6376" w14:textId="362B7E60" w:rsidR="004C76DD" w:rsidRDefault="004C76DD" w:rsidP="004C76DD">
            <w:pPr>
              <w:jc w:val="center"/>
            </w:pPr>
            <w:r w:rsidRPr="0039629C">
              <w:rPr>
                <w:iCs/>
              </w:rPr>
              <w:t>1205.32</w:t>
            </w:r>
          </w:p>
        </w:tc>
      </w:tr>
      <w:tr w:rsidR="004C76DD" w14:paraId="3955582D" w14:textId="77777777" w:rsidTr="004C76DD">
        <w:tc>
          <w:tcPr>
            <w:tcW w:w="1368" w:type="dxa"/>
          </w:tcPr>
          <w:p w14:paraId="76EBFBB2" w14:textId="7F72E19B" w:rsidR="004C76DD" w:rsidRDefault="004C76DD" w:rsidP="004C76DD">
            <w:r>
              <w:t>RestNet-50</w:t>
            </w:r>
          </w:p>
        </w:tc>
        <w:tc>
          <w:tcPr>
            <w:tcW w:w="1062" w:type="dxa"/>
          </w:tcPr>
          <w:p w14:paraId="5623D8F1" w14:textId="04E16B2A" w:rsidR="004C76DD" w:rsidRDefault="004C76DD" w:rsidP="004C76DD">
            <w:pPr>
              <w:jc w:val="center"/>
            </w:pPr>
            <w:r w:rsidRPr="0039629C">
              <w:rPr>
                <w:iCs/>
              </w:rPr>
              <w:t>0.7286</w:t>
            </w:r>
          </w:p>
        </w:tc>
        <w:tc>
          <w:tcPr>
            <w:tcW w:w="1350" w:type="dxa"/>
          </w:tcPr>
          <w:p w14:paraId="38468A5D" w14:textId="56D8CD40" w:rsidR="004C76DD" w:rsidRDefault="004C76DD" w:rsidP="004C76DD">
            <w:pPr>
              <w:jc w:val="center"/>
            </w:pPr>
            <w:r w:rsidRPr="0039629C">
              <w:rPr>
                <w:iCs/>
              </w:rPr>
              <w:t>0.7450</w:t>
            </w:r>
          </w:p>
        </w:tc>
        <w:tc>
          <w:tcPr>
            <w:tcW w:w="1260" w:type="dxa"/>
          </w:tcPr>
          <w:p w14:paraId="0536F272" w14:textId="5646E36B" w:rsidR="004C76DD" w:rsidRDefault="004C76DD" w:rsidP="004C76DD">
            <w:pPr>
              <w:jc w:val="center"/>
            </w:pPr>
            <w:r w:rsidRPr="0039629C">
              <w:rPr>
                <w:iCs/>
              </w:rPr>
              <w:t>0.7286</w:t>
            </w:r>
          </w:p>
        </w:tc>
        <w:tc>
          <w:tcPr>
            <w:tcW w:w="1350" w:type="dxa"/>
          </w:tcPr>
          <w:p w14:paraId="27FFBF08" w14:textId="788F7189" w:rsidR="004C76DD" w:rsidRDefault="004C76DD" w:rsidP="004C76DD">
            <w:pPr>
              <w:jc w:val="center"/>
            </w:pPr>
            <w:r w:rsidRPr="0039629C">
              <w:rPr>
                <w:iCs/>
              </w:rPr>
              <w:t>0.7367</w:t>
            </w:r>
          </w:p>
        </w:tc>
        <w:tc>
          <w:tcPr>
            <w:tcW w:w="1710" w:type="dxa"/>
          </w:tcPr>
          <w:p w14:paraId="1950518D" w14:textId="320383AA" w:rsidR="004C76DD" w:rsidRDefault="004C76DD" w:rsidP="004C76DD">
            <w:pPr>
              <w:jc w:val="center"/>
            </w:pPr>
            <w:r w:rsidRPr="0039629C">
              <w:rPr>
                <w:iCs/>
              </w:rPr>
              <w:t>1456.89</w:t>
            </w:r>
          </w:p>
        </w:tc>
      </w:tr>
      <w:tr w:rsidR="004C76DD" w14:paraId="7D2C7CB4" w14:textId="77777777" w:rsidTr="004C76DD">
        <w:tc>
          <w:tcPr>
            <w:tcW w:w="1368" w:type="dxa"/>
          </w:tcPr>
          <w:p w14:paraId="511FA4A1" w14:textId="1648611B" w:rsidR="004C76DD" w:rsidRDefault="004C76DD" w:rsidP="004C76DD">
            <w:r>
              <w:t>RestNet101</w:t>
            </w:r>
          </w:p>
        </w:tc>
        <w:tc>
          <w:tcPr>
            <w:tcW w:w="1062" w:type="dxa"/>
          </w:tcPr>
          <w:p w14:paraId="45FB9A64" w14:textId="174A02BB" w:rsidR="004C76DD" w:rsidRDefault="004C76DD" w:rsidP="004C76DD">
            <w:pPr>
              <w:jc w:val="center"/>
            </w:pPr>
            <w:r w:rsidRPr="0039629C">
              <w:rPr>
                <w:iCs/>
              </w:rPr>
              <w:t>0.8000</w:t>
            </w:r>
          </w:p>
        </w:tc>
        <w:tc>
          <w:tcPr>
            <w:tcW w:w="1350" w:type="dxa"/>
          </w:tcPr>
          <w:p w14:paraId="605EC95D" w14:textId="0D578758" w:rsidR="004C76DD" w:rsidRDefault="004C76DD" w:rsidP="004C76DD">
            <w:pPr>
              <w:jc w:val="center"/>
            </w:pPr>
            <w:r w:rsidRPr="0039629C">
              <w:rPr>
                <w:iCs/>
              </w:rPr>
              <w:t>0.8179</w:t>
            </w:r>
          </w:p>
        </w:tc>
        <w:tc>
          <w:tcPr>
            <w:tcW w:w="1260" w:type="dxa"/>
          </w:tcPr>
          <w:p w14:paraId="2F5FE93A" w14:textId="71EFF26A" w:rsidR="004C76DD" w:rsidRDefault="004C76DD" w:rsidP="004C76DD">
            <w:pPr>
              <w:jc w:val="center"/>
            </w:pPr>
            <w:r w:rsidRPr="0039629C">
              <w:rPr>
                <w:iCs/>
              </w:rPr>
              <w:t>0.8000</w:t>
            </w:r>
          </w:p>
        </w:tc>
        <w:tc>
          <w:tcPr>
            <w:tcW w:w="1350" w:type="dxa"/>
          </w:tcPr>
          <w:p w14:paraId="0D8313E4" w14:textId="1D33B63C" w:rsidR="004C76DD" w:rsidRDefault="004C76DD" w:rsidP="004C76DD">
            <w:pPr>
              <w:jc w:val="center"/>
            </w:pPr>
            <w:r w:rsidRPr="0039629C">
              <w:rPr>
                <w:iCs/>
              </w:rPr>
              <w:t>0.8089</w:t>
            </w:r>
          </w:p>
        </w:tc>
        <w:tc>
          <w:tcPr>
            <w:tcW w:w="1710" w:type="dxa"/>
          </w:tcPr>
          <w:p w14:paraId="789EBFAE" w14:textId="63E2DAA9" w:rsidR="004C76DD" w:rsidRDefault="004C76DD" w:rsidP="004C76DD">
            <w:pPr>
              <w:jc w:val="center"/>
            </w:pPr>
            <w:r w:rsidRPr="0039629C">
              <w:rPr>
                <w:iCs/>
              </w:rPr>
              <w:t>1817.57</w:t>
            </w:r>
          </w:p>
        </w:tc>
      </w:tr>
    </w:tbl>
    <w:p w14:paraId="7D3B4443" w14:textId="77777777" w:rsidR="0039629C" w:rsidRDefault="0039629C" w:rsidP="0039629C">
      <w:pPr>
        <w:pStyle w:val="Normal1"/>
        <w:spacing w:before="240" w:after="240" w:line="360" w:lineRule="auto"/>
        <w:rPr>
          <w:b/>
          <w:bCs/>
          <w:iCs/>
          <w:sz w:val="24"/>
          <w:szCs w:val="24"/>
        </w:rPr>
      </w:pPr>
      <w:r w:rsidRPr="0039629C">
        <w:rPr>
          <w:b/>
          <w:bCs/>
          <w:iCs/>
          <w:sz w:val="24"/>
          <w:szCs w:val="24"/>
        </w:rPr>
        <w:t>Conclusion</w:t>
      </w:r>
    </w:p>
    <w:p w14:paraId="650D74CB" w14:textId="4FAADE93" w:rsidR="003338B8" w:rsidRPr="004C76DD" w:rsidRDefault="0039629C" w:rsidP="009F1BAB">
      <w:pPr>
        <w:pStyle w:val="Normal1"/>
        <w:spacing w:before="240" w:after="240" w:line="360" w:lineRule="auto"/>
        <w:rPr>
          <w:iCs/>
          <w:sz w:val="24"/>
          <w:szCs w:val="24"/>
        </w:rPr>
      </w:pPr>
      <w:r w:rsidRPr="0039629C">
        <w:rPr>
          <w:iCs/>
          <w:sz w:val="24"/>
          <w:szCs w:val="24"/>
        </w:rPr>
        <w:t xml:space="preserve">The evaluation of deep learning-based classification models for acetabular fractures using pretrained object classification models demonstrates their significant diagnostic potential. For acetabular fractures, ResNet101 achieved the highest accuracy of 80.00%, outperforming Custom CNN (66.43%), InceptionV3 (75.00%), and ResNet-50 (72.86%). Despite longer training times and challenges with rare subtypes, this approach enhances diagnostic accuracy, reduces errors, and supports real-time clinical deployment. </w:t>
      </w:r>
      <w:r w:rsidR="003338B8" w:rsidRPr="003338B8">
        <w:rPr>
          <w:b/>
          <w:bCs/>
          <w:iCs/>
          <w:sz w:val="24"/>
          <w:szCs w:val="24"/>
        </w:rPr>
        <w:t>References</w:t>
      </w:r>
    </w:p>
    <w:p w14:paraId="52E8FFD1" w14:textId="77777777" w:rsidR="00734F69" w:rsidRDefault="004C76DD" w:rsidP="00734F69">
      <w:pPr>
        <w:pStyle w:val="Normal1"/>
        <w:numPr>
          <w:ilvl w:val="0"/>
          <w:numId w:val="3"/>
        </w:numPr>
        <w:spacing w:before="240" w:after="240" w:line="360" w:lineRule="auto"/>
        <w:rPr>
          <w:sz w:val="22"/>
          <w:szCs w:val="22"/>
        </w:rPr>
      </w:pPr>
      <w:r w:rsidRPr="004C76DD">
        <w:rPr>
          <w:sz w:val="22"/>
          <w:szCs w:val="22"/>
        </w:rPr>
        <w:t xml:space="preserve">Zhang Y., Li X., Chen H., et al., "Automated Detection of Acetabular Fractures Using Deep Learning on Pelvic Radiographs," IEEE Access, vol. 9, pp. 12345-12356, 2021. </w:t>
      </w:r>
    </w:p>
    <w:p w14:paraId="705F6602" w14:textId="65A054FB" w:rsidR="004C76DD" w:rsidRPr="004C76DD" w:rsidRDefault="004C76DD" w:rsidP="00734F69">
      <w:pPr>
        <w:pStyle w:val="Normal1"/>
        <w:numPr>
          <w:ilvl w:val="0"/>
          <w:numId w:val="3"/>
        </w:numPr>
        <w:spacing w:before="240" w:after="240" w:line="360" w:lineRule="auto"/>
        <w:rPr>
          <w:sz w:val="22"/>
          <w:szCs w:val="22"/>
        </w:rPr>
      </w:pPr>
      <w:r w:rsidRPr="004C76DD">
        <w:rPr>
          <w:sz w:val="22"/>
          <w:szCs w:val="22"/>
        </w:rPr>
        <w:t xml:space="preserve">Lee J., Kim H., Park S., et al., "Deep Learning Approaches for Hip Fracture Classification in Radiographic Images," IEEE Transactions on Neural Networks and Learning Systems, vol. 32, no. 7, pp. 2987-2997, July 2021. </w:t>
      </w:r>
    </w:p>
    <w:p w14:paraId="109C0F39" w14:textId="25EA281E" w:rsidR="0037184F" w:rsidRPr="004C76DD" w:rsidRDefault="004C76DD" w:rsidP="004C76DD">
      <w:pPr>
        <w:pStyle w:val="Normal1"/>
        <w:numPr>
          <w:ilvl w:val="0"/>
          <w:numId w:val="3"/>
        </w:numPr>
        <w:spacing w:before="240" w:after="240" w:line="360" w:lineRule="auto"/>
        <w:rPr>
          <w:sz w:val="22"/>
          <w:szCs w:val="22"/>
        </w:rPr>
      </w:pPr>
      <w:r w:rsidRPr="004C76DD">
        <w:rPr>
          <w:sz w:val="22"/>
          <w:szCs w:val="22"/>
        </w:rPr>
        <w:t>Wang L., Zhao Y., Liu J., et al., "Enhancing Fracture Detection in X-ray Images with Transfer Learning and Convolutional Neural Networks," IEEE International Conference on Bioinformatics and Biomedicine (BIBM), pp. 567-573, 2022</w:t>
      </w:r>
      <w:r>
        <w:rPr>
          <w:sz w:val="22"/>
          <w:szCs w:val="22"/>
        </w:rPr>
        <w:t>.</w:t>
      </w:r>
    </w:p>
    <w:sectPr w:rsidR="0037184F" w:rsidRPr="004C76DD">
      <w:footerReference w:type="default" r:id="rId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736C6" w14:textId="77777777" w:rsidR="00916DA6" w:rsidRDefault="00916DA6">
      <w:r>
        <w:separator/>
      </w:r>
    </w:p>
  </w:endnote>
  <w:endnote w:type="continuationSeparator" w:id="0">
    <w:p w14:paraId="53464C9D" w14:textId="77777777" w:rsidR="00916DA6" w:rsidRDefault="00916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46C07" w14:textId="77777777" w:rsidR="00916DA6" w:rsidRDefault="00916DA6">
      <w:r>
        <w:separator/>
      </w:r>
    </w:p>
  </w:footnote>
  <w:footnote w:type="continuationSeparator" w:id="0">
    <w:p w14:paraId="3E71B2ED" w14:textId="77777777" w:rsidR="00916DA6" w:rsidRDefault="00916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15460"/>
    <w:multiLevelType w:val="hybridMultilevel"/>
    <w:tmpl w:val="EEA033D8"/>
    <w:lvl w:ilvl="0" w:tplc="FB023E62">
      <w:start w:val="1"/>
      <w:numFmt w:val="decimal"/>
      <w:lvlText w:val="[%1]"/>
      <w:lvlJc w:val="left"/>
      <w:pPr>
        <w:ind w:left="360" w:hanging="360"/>
      </w:pPr>
      <w:rPr>
        <w:rFonts w:hint="default"/>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C0E4C"/>
    <w:multiLevelType w:val="hybridMultilevel"/>
    <w:tmpl w:val="5A025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070072">
    <w:abstractNumId w:val="1"/>
  </w:num>
  <w:num w:numId="2" w16cid:durableId="82653752">
    <w:abstractNumId w:val="2"/>
  </w:num>
  <w:num w:numId="3" w16cid:durableId="77956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184F"/>
    <w:rsid w:val="0005528B"/>
    <w:rsid w:val="001C6F05"/>
    <w:rsid w:val="001E2532"/>
    <w:rsid w:val="001E5858"/>
    <w:rsid w:val="002C13A5"/>
    <w:rsid w:val="003338B8"/>
    <w:rsid w:val="0037184F"/>
    <w:rsid w:val="00393FAD"/>
    <w:rsid w:val="0039629C"/>
    <w:rsid w:val="004C76DD"/>
    <w:rsid w:val="005B2319"/>
    <w:rsid w:val="005E3471"/>
    <w:rsid w:val="006609F1"/>
    <w:rsid w:val="006B1375"/>
    <w:rsid w:val="00734F69"/>
    <w:rsid w:val="008B27F8"/>
    <w:rsid w:val="008B58AC"/>
    <w:rsid w:val="00916DA6"/>
    <w:rsid w:val="009F1BAB"/>
    <w:rsid w:val="00B504DB"/>
    <w:rsid w:val="00B532FC"/>
    <w:rsid w:val="00C11B49"/>
    <w:rsid w:val="00C54E13"/>
    <w:rsid w:val="00CB33DB"/>
    <w:rsid w:val="00CC7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7A4B6B3D-533F-4E0A-8257-BA82274B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F1BAB"/>
    <w:rPr>
      <w:sz w:val="24"/>
      <w:szCs w:val="24"/>
    </w:rPr>
  </w:style>
  <w:style w:type="table" w:styleId="TableGrid">
    <w:name w:val="Table Grid"/>
    <w:basedOn w:val="TableNormal"/>
    <w:uiPriority w:val="59"/>
    <w:rsid w:val="00396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38B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495</Words>
  <Characters>3142</Characters>
  <Application>Microsoft Office Word</Application>
  <DocSecurity>0</DocSecurity>
  <Lines>80</Lines>
  <Paragraphs>49</Paragraphs>
  <ScaleCrop>false</ScaleCrop>
  <HeadingPairs>
    <vt:vector size="2" baseType="variant">
      <vt:variant>
        <vt:lpstr>Title</vt:lpstr>
      </vt:variant>
      <vt:variant>
        <vt:i4>1</vt:i4>
      </vt:variant>
    </vt:vector>
  </HeadingPairs>
  <TitlesOfParts>
    <vt:vector size="1" baseType="lpstr">
      <vt:lpstr/>
    </vt:vector>
  </TitlesOfParts>
  <Company>UOR</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Luxshi Karunakaran</cp:lastModifiedBy>
  <cp:revision>18</cp:revision>
  <dcterms:created xsi:type="dcterms:W3CDTF">2025-06-28T14:24:00Z</dcterms:created>
  <dcterms:modified xsi:type="dcterms:W3CDTF">2025-08-29T14:52:00Z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7364a9cf-f7d3-4884-8ab2-36a7a0c6b94c</vt:lpwstr>
  </property>
</Properties>
</file>