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FedTabRAG 下一阶段实验工作安排文档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4"/>
        </w:rPr>
        <w:t>Flat vs UniTable 结构诊断、冻结 BGE 门控融合与最小联邦验证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0"/>
        </w:rPr>
        <w:t>服务器执行版｜基于 Day 10 冻结结果的后续诊断与决策流程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shd w:fill="1F4E79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93"/>
            <w:vAlign w:val="top"/>
            <w:shd w:fill="1F4E79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2493"/>
            <w:vAlign w:val="top"/>
            <w:shd w:fill="1F4E79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是否训练</w:t>
            </w:r>
          </w:p>
        </w:tc>
        <w:tc>
          <w:tcPr>
            <w:tcW w:type="dxa" w:w="2493"/>
            <w:vAlign w:val="top"/>
            <w:shd w:fill="1F4E79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是否看 test</w:t>
            </w:r>
          </w:p>
        </w:tc>
      </w:tr>
      <w:tr>
        <w:tc>
          <w:tcPr>
            <w:tcW w:type="dxa" w:w="2493"/>
            <w:vAlign w:val="top"/>
            <w:shd w:fill="F7FBFF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1-3</w:t>
            </w:r>
          </w:p>
        </w:tc>
        <w:tc>
          <w:tcPr>
            <w:tcW w:type="dxa" w:w="2493"/>
            <w:vAlign w:val="top"/>
            <w:shd w:fill="F7FBFF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配对诊断、分桶统计、人工错误归因</w:t>
            </w:r>
          </w:p>
        </w:tc>
        <w:tc>
          <w:tcPr>
            <w:tcW w:type="dxa" w:w="2493"/>
            <w:vAlign w:val="top"/>
            <w:shd w:fill="F7FBFF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top"/>
            <w:shd w:fill="F7FBFF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仅解释，不调参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4-6</w:t>
            </w:r>
          </w:p>
        </w:tc>
        <w:tc>
          <w:tcPr>
            <w:tcW w:type="dxa" w:w="2493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冻结 BGE 下验证结构门控与分数融合，并在 dev 上冻结配置</w:t>
            </w:r>
          </w:p>
        </w:tc>
        <w:tc>
          <w:tcPr>
            <w:tcW w:type="dxa" w:w="2493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不看 test</w:t>
            </w:r>
          </w:p>
        </w:tc>
      </w:tr>
      <w:tr>
        <w:tc>
          <w:tcPr>
            <w:tcW w:type="dxa" w:w="2493"/>
            <w:vAlign w:val="top"/>
            <w:shd w:fill="F7FBFF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top"/>
            <w:shd w:fill="F7FBFF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冻结方案后正式 test 一次</w:t>
            </w:r>
          </w:p>
        </w:tc>
        <w:tc>
          <w:tcPr>
            <w:tcW w:type="dxa" w:w="2493"/>
            <w:vAlign w:val="top"/>
            <w:shd w:fill="F7FBFF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top"/>
            <w:shd w:fill="F7FBFF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只运行一次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若超过 Flat，进入最小联邦验证</w:t>
            </w:r>
          </w:p>
        </w:tc>
        <w:tc>
          <w:tcPr>
            <w:tcW w:type="dxa" w:w="2493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是，且只做最小验证</w:t>
            </w:r>
          </w:p>
        </w:tc>
        <w:tc>
          <w:tcPr>
            <w:tcW w:type="dxa" w:w="2493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dev 选模后 test 一次</w:t>
            </w:r>
          </w:p>
        </w:tc>
      </w:tr>
      <w:tr>
        <w:tc>
          <w:tcPr>
            <w:tcW w:type="dxa" w:w="2493"/>
            <w:vAlign w:val="top"/>
            <w:shd w:fill="F7FBFF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2493"/>
            <w:vAlign w:val="top"/>
            <w:shd w:fill="F7FBFF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若仍低于 Flat，停止结构联邦分支并转向问答端</w:t>
            </w:r>
          </w:p>
        </w:tc>
        <w:tc>
          <w:tcPr>
            <w:tcW w:type="dxa" w:w="2493"/>
            <w:vAlign w:val="top"/>
            <w:shd w:fill="F7FBFF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top"/>
            <w:shd w:fill="F7FBFF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整理负结果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sz w:val="32"/>
        </w:rPr>
        <w:t>一、实验背景与总体原则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根据 10 天实验文档的 Day 10 冻结结果，FedE4RAG-Flat 的加权 NDCG@10 为 0.256154，FedE4RAG-UniTable 为 0.229914，FedTabRAG-Full 为 0.226521。多种子结果没有改变排序，Flat 稳定领先。UniTable 的 S-TEDS 达到 0.922466，Valid HTML 为 1.000000，Cell-count consistency 为 0.977332，说明结构预测质量较高，但预测结构序列化没有转化为检索收益。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因此，本阶段的核心任务不是继续扩大联邦训练预算，也不是继续叠加新的损失函数，而是先定位 Flat 与 UniTable 的差距来源，并通过冻结 BGE 下的置信度门控和分数后融合验证结构信息是否存在局部正贡献。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执行原则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所有阈值、融合权重、分桶规则和方案选择只允许在 dev 集上确定；test 只在方案冻结后运行一次。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任务 1-7 不重新训练模型，只复用冻结的 BGE、Flat/UniTable 语料、检索结果、结构质量文件和 evidence map。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所有输入分支必须使用相同问题集合、相同候选集合、相同 gold evidence 和相同 row-major 单元格文本多重集合。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任何结果均需保留命令、配置、输入文件 SHA256、输出文件 SHA256 和日志。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如果冻结 BGE 下的门控或融合未达到预注册门槛，则不进入新的联邦训练。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缺失结果继续执行 strict missing 策略，写为 NA，不用假设值或回填值替代。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sz w:val="32"/>
        </w:rPr>
        <w:t>二、预注册判定门槛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进入新的联邦训练前，冻结 BGE 下的结构门控或分数融合至少需要满足以下条件。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dev 加权 NDCG@10 至少超过冻结 Flat 0.003。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Row 或 Cell Recall@5 至少提升 1 个百分点。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worst-client 相对 Flat 下降不得超过 0.005。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至少两个 seed 方向一致，且提升不能只来自单个结构质量桶。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阈值、融合权重和最终方案必须在 dev 集冻结，test 不参与方案选择。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sz w:val="32"/>
        </w:rPr>
        <w:t>三、逐项工作安排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sz w:val="32"/>
        </w:rPr>
        <w:t>任务 1：生成 Flat vs UniTable 的逐 query 配对结果表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工作目标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对同一批 query 同时读取 Flat 与 UniTable 的检索结果，逐条比较 gold evidence 在两种分支中的排名、命中和排序指标，为后续分桶和人工分析提供统一数据基础。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具体内容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读取 Flat 和 UniTable 的 dev/test 检索结果、queries、evidence_map 和样本元数据。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对每个 query 计算 Flat 与 UniTable 的 gold evidence rank、Recall@5、NDCG@10、MRR、MAP。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生成 delta_ndcg = unitable_ndcg@10 - flat_ndcg@10。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按照 delta_ndcg 和 gold rank 标注 winner：unitable_win、flat_win、tie、both_fail。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保留 company、question_type、program_type、table_size、evidence_level 等分析字段。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核心输出文件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outputs/diagnosis/pairwise_flat_unitable_dev.csv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outputs/diagnosis/pairwise_flat_unitable_test.csv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outputs/diagnosis/pairwise_input_sha256.json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outputs/logs/diagnosis_pairwise.log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验收内容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dev 和 test 的每个 query 都有配对记录。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Flat 和 UniTable 使用相同 query、gold evidence 和 top-k 设置。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未检索到 gold evidence 的情况有明确 rank 标记，例如 -1 或 inf。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winner 字段可正确区分 Flat 胜、UniTable 胜、接近持平和二者都失败。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脚本不重新训练模型，不修改原始检索结果。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Codex 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请在服务器项目根目录执行下一阶段任务 1。创建脚本 src/evaluation/compare_flat_unitable_pairwise.py，用于读取 Flat 与 UniTable 的检索结果、queries、evidence_map 和样本元数据，生成逐 query 配对结果表。每条记录需要包含 query_id、sample_id、question、company、question_type、program_type、table_size、evidence_level、gold_evidence_id、flat_gold_rank、unitable_gold_rank、flat_recall@5、unitable_recall@5、flat_ndcg@10、unitable_ndcg@10、flat_mrr、unitable_mrr、flat_map、unitable_map、delta_ndcg 和 winner。winner 根据 delta_ndcg 和 gold rank 判断为 unitable_win、flat_win、tie 或 both_fail。脚本必须支持 dev 和 test 两个 split，不能修改原始检索结果，不能重新训练模型。输出到 outputs/diagnosis/pairwise_flat_unitable_dev.csv 和 outputs/diagnosis/pairwise_flat_unitable_test.csv，并保存运行日志和输入文件 SHA256。</w:t>
            </w:r>
          </w:p>
        </w:tc>
      </w:tr>
    </w:tbl>
    <w:p>
      <w:pPr>
        <w:pStyle w:val="Heading3"/>
      </w:pPr>
      <w:r>
        <w:t>任务 1实际执行与验收结果（2026-08-04）</w:t>
      </w:r>
    </w:p>
    <w:p>
      <w:r>
        <w:t>执行状态：PASS。任务1已完成，全部验收项通过。</w:t>
      </w:r>
    </w:p>
    <w:p>
      <w:pPr>
        <w:pStyle w:val="ListBullet"/>
      </w:pPr>
      <w:r>
        <w:t>实现脚本：src/evaluation/compare_flat_unitable_pairwise.py。脚本支持--split dev/test/all、seed、日志、自定义输入输出和显式--overwrite；包含跨分支query字段、检索协议、gold映射、指标字段、重复ID和覆盖率检查。</w:t>
      </w:r>
    </w:p>
    <w:p>
      <w:pPr>
        <w:pStyle w:val="ListBullet"/>
      </w:pPr>
      <w:r>
        <w:t>现有完整逐query零样本检索结果原先只覆盖test。为形成任务要求的dev配对表，本次使用冻结BGE和既有只读索引补算Flat与UniTable dev检索结果；该过程仅做推理，没有训练、重新编码语料或修改模型权重。</w:t>
      </w:r>
    </w:p>
    <w:p>
      <w:pPr>
        <w:pStyle w:val="ListBullet"/>
      </w:pPr>
      <w:r>
        <w:t>输出：outputs/diagnosis/pairwise_flat_unitable_dev.csv、pairwise_flat_unitable_test.csv、pairwise_input_sha256.json；日志：outputs/logs/diagnosis_pairwise.log。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split</w:t>
            </w:r>
          </w:p>
        </w:tc>
        <w:tc>
          <w:tcPr>
            <w:tcW w:type="dxa" w:w="1425"/>
          </w:tcPr>
          <w:p>
            <w:r>
              <w:t>query数</w:t>
            </w:r>
          </w:p>
        </w:tc>
        <w:tc>
          <w:tcPr>
            <w:tcW w:type="dxa" w:w="1425"/>
          </w:tcPr>
          <w:p>
            <w:r>
              <w:t>Flat胜</w:t>
            </w:r>
          </w:p>
        </w:tc>
        <w:tc>
          <w:tcPr>
            <w:tcW w:type="dxa" w:w="1425"/>
          </w:tcPr>
          <w:p>
            <w:r>
              <w:t>UniTable胜</w:t>
            </w:r>
          </w:p>
        </w:tc>
        <w:tc>
          <w:tcPr>
            <w:tcW w:type="dxa" w:w="1425"/>
          </w:tcPr>
          <w:p>
            <w:r>
              <w:t>tie</w:t>
            </w:r>
          </w:p>
        </w:tc>
        <w:tc>
          <w:tcPr>
            <w:tcW w:type="dxa" w:w="1425"/>
          </w:tcPr>
          <w:p>
            <w:r>
              <w:t>both_fail</w:t>
            </w:r>
          </w:p>
        </w:tc>
        <w:tc>
          <w:tcPr>
            <w:tcW w:type="dxa" w:w="1425"/>
          </w:tcPr>
          <w:p>
            <w:r>
              <w:t>覆盖验收</w:t>
            </w:r>
          </w:p>
        </w:tc>
      </w:tr>
      <w:tr>
        <w:tc>
          <w:tcPr>
            <w:tcW w:type="dxa" w:w="1425"/>
          </w:tcPr>
          <w:p>
            <w:r>
              <w:t>dev</w:t>
            </w:r>
          </w:p>
        </w:tc>
        <w:tc>
          <w:tcPr>
            <w:tcW w:type="dxa" w:w="1425"/>
          </w:tcPr>
          <w:p>
            <w:r>
              <w:t>883</w:t>
            </w:r>
          </w:p>
        </w:tc>
        <w:tc>
          <w:tcPr>
            <w:tcW w:type="dxa" w:w="1425"/>
          </w:tcPr>
          <w:p>
            <w:r>
              <w:t>105</w:t>
            </w:r>
          </w:p>
        </w:tc>
        <w:tc>
          <w:tcPr>
            <w:tcW w:type="dxa" w:w="1425"/>
          </w:tcPr>
          <w:p>
            <w:r>
              <w:t>74</w:t>
            </w:r>
          </w:p>
        </w:tc>
        <w:tc>
          <w:tcPr>
            <w:tcW w:type="dxa" w:w="1425"/>
          </w:tcPr>
          <w:p>
            <w:r>
              <w:t>196</w:t>
            </w:r>
          </w:p>
        </w:tc>
        <w:tc>
          <w:tcPr>
            <w:tcW w:type="dxa" w:w="1425"/>
          </w:tcPr>
          <w:p>
            <w:r>
              <w:t>508</w:t>
            </w:r>
          </w:p>
        </w:tc>
        <w:tc>
          <w:tcPr>
            <w:tcW w:type="dxa" w:w="1425"/>
          </w:tcPr>
          <w:p>
            <w:r>
              <w:t>无缺失、无重复</w:t>
            </w:r>
          </w:p>
        </w:tc>
      </w:tr>
      <w:tr>
        <w:tc>
          <w:tcPr>
            <w:tcW w:type="dxa" w:w="1425"/>
          </w:tcPr>
          <w:p>
            <w:r>
              <w:t>test</w:t>
            </w:r>
          </w:p>
        </w:tc>
        <w:tc>
          <w:tcPr>
            <w:tcW w:type="dxa" w:w="1425"/>
          </w:tcPr>
          <w:p>
            <w:r>
              <w:t>1147</w:t>
            </w:r>
          </w:p>
        </w:tc>
        <w:tc>
          <w:tcPr>
            <w:tcW w:type="dxa" w:w="1425"/>
          </w:tcPr>
          <w:p>
            <w:r>
              <w:t>113</w:t>
            </w:r>
          </w:p>
        </w:tc>
        <w:tc>
          <w:tcPr>
            <w:tcW w:type="dxa" w:w="1425"/>
          </w:tcPr>
          <w:p>
            <w:r>
              <w:t>114</w:t>
            </w:r>
          </w:p>
        </w:tc>
        <w:tc>
          <w:tcPr>
            <w:tcW w:type="dxa" w:w="1425"/>
          </w:tcPr>
          <w:p>
            <w:r>
              <w:t>241</w:t>
            </w:r>
          </w:p>
        </w:tc>
        <w:tc>
          <w:tcPr>
            <w:tcW w:type="dxa" w:w="1425"/>
          </w:tcPr>
          <w:p>
            <w:r>
              <w:t>679</w:t>
            </w:r>
          </w:p>
        </w:tc>
        <w:tc>
          <w:tcPr>
            <w:tcW w:type="dxa" w:w="1425"/>
          </w:tcPr>
          <w:p>
            <w:r>
              <w:t>无缺失、无重复</w:t>
            </w:r>
          </w:p>
        </w:tc>
      </w:tr>
    </w:tbl>
    <w:p>
      <w:r>
        <w:t>winner定义已冻结：两路最佳正例rank都大于10时标记both_fail；否则先比较NDCG@10，在NDCG相同时比较最佳正例rank，仍相同才标记tie。由于使用全语料精确排名，所有共享eligible样本均存在大于等于1的gold rank，不需要以-1/inf表示缺失；both_fail专指两路均未进入Top-10。</w:t>
      </w:r>
    </w:p>
    <w:p>
      <w:r>
        <w:t>单行evidence_level选择两分支共同可评测的最细粒度（cell &gt; row &gt; table）；gold_evidence_id以JSON对象保存Flat和UniTable各自的多正例ID数组，避免把预测槽位ID误当作GT槽位ID。</w:t>
      </w:r>
    </w:p>
    <w:p>
      <w:r>
        <w:t>SHA256验收：11个输入和2个输出全部复算一致。dev覆盖883/883，test覆盖1147/1147；21个规定字段完整，无空值，delta_ndcg重算一致。</w:t>
      </w:r>
    </w:p>
    <w:p>
      <w:r>
        <w:t>边界说明：test在任务1中仅用于固定配对结果和后续人工解释，不用于选择阈值、融合权重或训练配置。任务4-6仍只能使用dev进行方案选择。</w:t>
      </w:r>
    </w:p>
    <w:p>
      <w:pPr>
        <w:pStyle w:val="Heading3"/>
      </w:pPr>
      <w:r>
        <w:t>任务1最终验收：</w:t>
      </w:r>
    </w:p>
    <w:p>
      <w:r>
        <w:t>☑ dev和test每个query均有唯一配对记录。</w:t>
      </w:r>
    </w:p>
    <w:p>
      <w:r>
        <w:t>☑ Flat与UniTable使用相同query、问题文本、gold映射和检索协议。</w:t>
      </w:r>
    </w:p>
    <w:p>
      <w:r>
        <w:t>☑ winner四分类和多正例最细层级规则已明确并通过数值测试。</w:t>
      </w:r>
    </w:p>
    <w:p>
      <w:r>
        <w:t>☑ 未重新训练模型，未修改原始检索结果、语料或索引。</w:t>
      </w:r>
    </w:p>
    <w:p>
      <w:r>
        <w:t>☑ 日志、输入/输出SHA256及固定路径均已保存，可进入任务2。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sz w:val="32"/>
        </w:rPr>
        <w:t>任务 2：按 S-TEDS、cell-count、表格大小、问题类型和证据层级分桶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工作目标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基于逐 query 配对结果进行结构质量和任务类型分桶，定位 UniTable 退化或提升主要发生在哪些样本、层级和问题类型上。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具体内容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合并 UniTable 结构质量文件，包括 S-TEDS、valid_html、cell-count consistency、预测/真实单元格数量差异。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按照 S-TEDS 四分位进行分桶，观察高结构质量样本中 UniTable 是否仍然低于 Flat。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按照 cell-count consistency 分桶，判断槽位错配是否是主要退化来源。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按照表格大小分为 small、medium、large，观察结构是否只在大表或复杂表中有价值。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按照问题类型、program_type 和 evidence_level 分桶，分别比较 table、row、cell 层级收益与损失。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每个桶报告 count、Flat 指标、UniTable 指标、delta、win rate 和 both_fail rate。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核心输出文件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outputs/diagnosis/buckets/bucket_by_steds_dev.csv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outputs/diagnosis/buckets/bucket_by_cell_count_dev.csv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outputs/diagnosis/buckets/bucket_by_table_size_dev.csv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outputs/diagnosis/buckets/bucket_by_question_type_dev.csv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outputs/diagnosis/buckets/bucket_by_evidence_level_dev.csv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outputs/diagnosis/diagnosis_summary.md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验收内容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每个分桶维度均有独立 CSV 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每个桶至少包含 count、Flat NDCG@10、UniTable NDCG@10、delta_ndcg、Recall@5 和 win rate。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diagnosis_summary.md 明确指出 UniTable 的退化主要集中在哪些桶。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如果高 S-TEDS 桶中仍落后 Flat，报告是否倾向于结构序列化/编码问题。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如果低 S-TEDS 或 cell-count 不一致样本退化明显，报告是否适合做置信度门控。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Codex 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请执行任务 2：基于 outputs/diagnosis/pairwise_flat_unitable_dev.csv 和 outputs/diagnosis/pairwise_flat_unitable_test.csv，创建 src/evaluation/bucket_flat_unitable_diagnosis.py。脚本需要合并 UniTable 结构质量文件，包括 S-TEDS、valid_html、cell-count consistency、预测单元格数、真实单元格数、表格行列数、问题类型、program_type 和 evidence_level，并按 S-TEDS 四分位、cell-count consistency、表格大小、问题类型和证据层级进行分桶统计。每个桶输出 count、flat_ndcg@10、unitable_ndcg@10、delta_ndcg、flat_recall@5、unitable_recall@5、unitable_win_rate、flat_win_rate 和 both_fail_rate。输出目录为 outputs/diagnosis/buckets/，并生成 outputs/diagnosis/diagnosis_summary.md。注意：dev 用于方案分析，test 只做解释，不允许在脚本中根据 test 自动选择阈值或融合权重。</w:t>
            </w:r>
          </w:p>
        </w:tc>
      </w:tr>
    </w:tbl>
    <w:p>
      <w:pPr>
        <w:pStyle w:val="Heading3"/>
      </w:pPr>
      <w:r>
        <w:t>任务 2实际执行与验收结果（2026-08-04）</w:t>
      </w:r>
    </w:p>
    <w:p>
      <w:r>
        <w:t>执行状态：PASS。任务2已完成全部分桶、摘要、日志和SHA256验收。</w:t>
      </w:r>
    </w:p>
    <w:p>
      <w:pPr>
        <w:pStyle w:val="ListBullet"/>
      </w:pPr>
      <w:r>
        <w:t>实现脚本：src/evaluation/bucket_flat_unitable_diagnosis.py。脚本支持CLI、seed、日志、显式overwrite、原子写入、ID/结构覆盖检查和桶加权回算。</w:t>
      </w:r>
    </w:p>
    <w:p>
      <w:pPr>
        <w:pStyle w:val="ListBullet"/>
      </w:pPr>
      <w:r>
        <w:t>协议冻结：S-TEDS四分位只由dev计算，边界为Q25=0.909091、Q50=0.933333、Q75=0.947368；同一边界原样应用到test。表格大小使用small≤20、medium≤50、large&gt;50个单元格。</w:t>
      </w:r>
    </w:p>
    <w:p>
      <w:pPr>
        <w:pStyle w:val="ListBullet"/>
      </w:pPr>
      <w:r>
        <w:t>输出包括dev/test各6类分桶（S-TEDS、cell-count、table-size、question-type、program-type、evidence-level）、2份逐query结构合并表和diagnosis_summary.md。</w:t>
      </w:r>
    </w:p>
    <w:p>
      <w:pPr>
        <w:pStyle w:val="ListBullet"/>
      </w:pPr>
      <w:r>
        <w:t>结构合并字段完整覆盖S-TEDS、valid_html、cell-count exact/ratio、confidence、预测/真实cell、row、column数及其绝对误差。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dev分桶</w:t>
            </w:r>
          </w:p>
        </w:tc>
        <w:tc>
          <w:tcPr>
            <w:tcW w:type="dxa" w:w="1662"/>
          </w:tcPr>
          <w:p>
            <w:r>
              <w:t>count</w:t>
            </w:r>
          </w:p>
        </w:tc>
        <w:tc>
          <w:tcPr>
            <w:tcW w:type="dxa" w:w="1662"/>
          </w:tcPr>
          <w:p>
            <w:r>
              <w:t>Flat NDCG@10</w:t>
            </w:r>
          </w:p>
        </w:tc>
        <w:tc>
          <w:tcPr>
            <w:tcW w:type="dxa" w:w="1662"/>
          </w:tcPr>
          <w:p>
            <w:r>
              <w:t>UniTable NDCG@10</w:t>
            </w:r>
          </w:p>
        </w:tc>
        <w:tc>
          <w:tcPr>
            <w:tcW w:type="dxa" w:w="1662"/>
          </w:tcPr>
          <w:p>
            <w:r>
              <w:t>delta_ndcg</w:t>
            </w:r>
          </w:p>
        </w:tc>
        <w:tc>
          <w:tcPr>
            <w:tcW w:type="dxa" w:w="1662"/>
          </w:tcPr>
          <w:p>
            <w:r>
              <w:t>UniTable win rate</w:t>
            </w:r>
          </w:p>
        </w:tc>
      </w:tr>
      <w:tr>
        <w:tc>
          <w:tcPr>
            <w:tcW w:type="dxa" w:w="1662"/>
          </w:tcPr>
          <w:p>
            <w:r>
              <w:t>S-TEDS q1_low</w:t>
            </w:r>
          </w:p>
        </w:tc>
        <w:tc>
          <w:tcPr>
            <w:tcW w:type="dxa" w:w="1662"/>
          </w:tcPr>
          <w:p>
            <w:r>
              <w:t>245</w:t>
            </w:r>
          </w:p>
        </w:tc>
        <w:tc>
          <w:tcPr>
            <w:tcW w:type="dxa" w:w="1662"/>
          </w:tcPr>
          <w:p>
            <w:r>
              <w:t>0.136117</w:t>
            </w:r>
          </w:p>
        </w:tc>
        <w:tc>
          <w:tcPr>
            <w:tcW w:type="dxa" w:w="1662"/>
          </w:tcPr>
          <w:p>
            <w:r>
              <w:t>0.132264</w:t>
            </w:r>
          </w:p>
        </w:tc>
        <w:tc>
          <w:tcPr>
            <w:tcW w:type="dxa" w:w="1662"/>
          </w:tcPr>
          <w:p>
            <w:r>
              <w:t>-0.003853</w:t>
            </w:r>
          </w:p>
        </w:tc>
        <w:tc>
          <w:tcPr>
            <w:tcW w:type="dxa" w:w="1662"/>
          </w:tcPr>
          <w:p>
            <w:r>
              <w:t>0.0571</w:t>
            </w:r>
          </w:p>
        </w:tc>
      </w:tr>
      <w:tr>
        <w:tc>
          <w:tcPr>
            <w:tcW w:type="dxa" w:w="1662"/>
          </w:tcPr>
          <w:p>
            <w:r>
              <w:t>S-TEDS q4_high</w:t>
            </w:r>
          </w:p>
        </w:tc>
        <w:tc>
          <w:tcPr>
            <w:tcW w:type="dxa" w:w="1662"/>
          </w:tcPr>
          <w:p>
            <w:r>
              <w:t>206</w:t>
            </w:r>
          </w:p>
        </w:tc>
        <w:tc>
          <w:tcPr>
            <w:tcW w:type="dxa" w:w="1662"/>
          </w:tcPr>
          <w:p>
            <w:r>
              <w:t>0.140489</w:t>
            </w:r>
          </w:p>
        </w:tc>
        <w:tc>
          <w:tcPr>
            <w:tcW w:type="dxa" w:w="1662"/>
          </w:tcPr>
          <w:p>
            <w:r>
              <w:t>0.134663</w:t>
            </w:r>
          </w:p>
        </w:tc>
        <w:tc>
          <w:tcPr>
            <w:tcW w:type="dxa" w:w="1662"/>
          </w:tcPr>
          <w:p>
            <w:r>
              <w:t>-0.005826</w:t>
            </w:r>
          </w:p>
        </w:tc>
        <w:tc>
          <w:tcPr>
            <w:tcW w:type="dxa" w:w="1662"/>
          </w:tcPr>
          <w:p>
            <w:r>
              <w:t>0.0922</w:t>
            </w:r>
          </w:p>
        </w:tc>
      </w:tr>
      <w:tr>
        <w:tc>
          <w:tcPr>
            <w:tcW w:type="dxa" w:w="1662"/>
          </w:tcPr>
          <w:p>
            <w:r>
              <w:t>cell-count exact</w:t>
            </w:r>
          </w:p>
        </w:tc>
        <w:tc>
          <w:tcPr>
            <w:tcW w:type="dxa" w:w="1662"/>
          </w:tcPr>
          <w:p>
            <w:r>
              <w:t>872</w:t>
            </w:r>
          </w:p>
        </w:tc>
        <w:tc>
          <w:tcPr>
            <w:tcW w:type="dxa" w:w="1662"/>
          </w:tcPr>
          <w:p>
            <w:r>
              <w:t>0.137654</w:t>
            </w:r>
          </w:p>
        </w:tc>
        <w:tc>
          <w:tcPr>
            <w:tcW w:type="dxa" w:w="1662"/>
          </w:tcPr>
          <w:p>
            <w:r>
              <w:t>0.134220</w:t>
            </w:r>
          </w:p>
        </w:tc>
        <w:tc>
          <w:tcPr>
            <w:tcW w:type="dxa" w:w="1662"/>
          </w:tcPr>
          <w:p>
            <w:r>
              <w:t>-0.003434</w:t>
            </w:r>
          </w:p>
        </w:tc>
        <w:tc>
          <w:tcPr>
            <w:tcW w:type="dxa" w:w="1662"/>
          </w:tcPr>
          <w:p>
            <w:r>
              <w:t>0.0849</w:t>
            </w:r>
          </w:p>
        </w:tc>
      </w:tr>
      <w:tr>
        <w:tc>
          <w:tcPr>
            <w:tcW w:type="dxa" w:w="1662"/>
          </w:tcPr>
          <w:p>
            <w:r>
              <w:t>cell-count mismatch</w:t>
            </w:r>
          </w:p>
        </w:tc>
        <w:tc>
          <w:tcPr>
            <w:tcW w:type="dxa" w:w="1662"/>
          </w:tcPr>
          <w:p>
            <w:r>
              <w:t>11</w:t>
            </w:r>
          </w:p>
        </w:tc>
        <w:tc>
          <w:tcPr>
            <w:tcW w:type="dxa" w:w="1662"/>
          </w:tcPr>
          <w:p>
            <w:r>
              <w:t>0.104576</w:t>
            </w:r>
          </w:p>
        </w:tc>
        <w:tc>
          <w:tcPr>
            <w:tcW w:type="dxa" w:w="1662"/>
          </w:tcPr>
          <w:p>
            <w:r>
              <w:t>0.098792</w:t>
            </w:r>
          </w:p>
        </w:tc>
        <w:tc>
          <w:tcPr>
            <w:tcW w:type="dxa" w:w="1662"/>
          </w:tcPr>
          <w:p>
            <w:r>
              <w:t>-0.005784</w:t>
            </w:r>
          </w:p>
        </w:tc>
        <w:tc>
          <w:tcPr>
            <w:tcW w:type="dxa" w:w="1662"/>
          </w:tcPr>
          <w:p>
            <w:r>
              <w:t>0.0000</w:t>
            </w:r>
          </w:p>
        </w:tc>
      </w:tr>
      <w:tr>
        <w:tc>
          <w:tcPr>
            <w:tcW w:type="dxa" w:w="1662"/>
          </w:tcPr>
          <w:p>
            <w:r>
              <w:t>table-size medium</w:t>
            </w:r>
          </w:p>
        </w:tc>
        <w:tc>
          <w:tcPr>
            <w:tcW w:type="dxa" w:w="1662"/>
          </w:tcPr>
          <w:p>
            <w:r>
              <w:t>419</w:t>
            </w:r>
          </w:p>
        </w:tc>
        <w:tc>
          <w:tcPr>
            <w:tcW w:type="dxa" w:w="1662"/>
          </w:tcPr>
          <w:p>
            <w:r>
              <w:t>0.143097</w:t>
            </w:r>
          </w:p>
        </w:tc>
        <w:tc>
          <w:tcPr>
            <w:tcW w:type="dxa" w:w="1662"/>
          </w:tcPr>
          <w:p>
            <w:r>
              <w:t>0.141200</w:t>
            </w:r>
          </w:p>
        </w:tc>
        <w:tc>
          <w:tcPr>
            <w:tcW w:type="dxa" w:w="1662"/>
          </w:tcPr>
          <w:p>
            <w:r>
              <w:t>-0.001898</w:t>
            </w:r>
          </w:p>
        </w:tc>
        <w:tc>
          <w:tcPr>
            <w:tcW w:type="dxa" w:w="1662"/>
          </w:tcPr>
          <w:p>
            <w:r>
              <w:t>0.1122</w:t>
            </w:r>
          </w:p>
        </w:tc>
      </w:tr>
      <w:tr>
        <w:tc>
          <w:tcPr>
            <w:tcW w:type="dxa" w:w="1662"/>
          </w:tcPr>
          <w:p>
            <w:r>
              <w:t>evidence cell</w:t>
            </w:r>
          </w:p>
        </w:tc>
        <w:tc>
          <w:tcPr>
            <w:tcW w:type="dxa" w:w="1662"/>
          </w:tcPr>
          <w:p>
            <w:r>
              <w:t>685</w:t>
            </w:r>
          </w:p>
        </w:tc>
        <w:tc>
          <w:tcPr>
            <w:tcW w:type="dxa" w:w="1662"/>
          </w:tcPr>
          <w:p>
            <w:r>
              <w:t>0.065173</w:t>
            </w:r>
          </w:p>
        </w:tc>
        <w:tc>
          <w:tcPr>
            <w:tcW w:type="dxa" w:w="1662"/>
          </w:tcPr>
          <w:p>
            <w:r>
              <w:t>0.061558</w:t>
            </w:r>
          </w:p>
        </w:tc>
        <w:tc>
          <w:tcPr>
            <w:tcW w:type="dxa" w:w="1662"/>
          </w:tcPr>
          <w:p>
            <w:r>
              <w:t>-0.003615</w:t>
            </w:r>
          </w:p>
        </w:tc>
        <w:tc>
          <w:tcPr>
            <w:tcW w:type="dxa" w:w="1662"/>
          </w:tcPr>
          <w:p>
            <w:r>
              <w:t>0.0964</w:t>
            </w:r>
          </w:p>
        </w:tc>
      </w:tr>
      <w:tr>
        <w:tc>
          <w:tcPr>
            <w:tcW w:type="dxa" w:w="1662"/>
          </w:tcPr>
          <w:p>
            <w:r>
              <w:t>question hybrid</w:t>
            </w:r>
          </w:p>
        </w:tc>
        <w:tc>
          <w:tcPr>
            <w:tcW w:type="dxa" w:w="1662"/>
          </w:tcPr>
          <w:p>
            <w:r>
              <w:t>143</w:t>
            </w:r>
          </w:p>
        </w:tc>
        <w:tc>
          <w:tcPr>
            <w:tcW w:type="dxa" w:w="1662"/>
          </w:tcPr>
          <w:p>
            <w:r>
              <w:t>0.043561</w:t>
            </w:r>
          </w:p>
        </w:tc>
        <w:tc>
          <w:tcPr>
            <w:tcW w:type="dxa" w:w="1662"/>
          </w:tcPr>
          <w:p>
            <w:r>
              <w:t>0.044192</w:t>
            </w:r>
          </w:p>
        </w:tc>
        <w:tc>
          <w:tcPr>
            <w:tcW w:type="dxa" w:w="1662"/>
          </w:tcPr>
          <w:p>
            <w:r>
              <w:t>0.000631</w:t>
            </w:r>
          </w:p>
        </w:tc>
        <w:tc>
          <w:tcPr>
            <w:tcW w:type="dxa" w:w="1662"/>
          </w:tcPr>
          <w:p>
            <w:r>
              <w:t>0.0909</w:t>
            </w:r>
          </w:p>
        </w:tc>
      </w:tr>
    </w:tbl>
    <w:p>
      <w:r>
        <w:t>dev总体mean delta_ndcg=-0.003463；test总体为+0.000107，但test仅作描述，不用于选择任何阈值、融合权重或方案。</w:t>
      </w:r>
    </w:p>
    <w:p>
      <w:r>
        <w:t>关键诊断：高S-TEDS的q4_high仍下降0.005826，且下降大于q1_low的0.003853，说明仅提高结构识别质量不足以保证检索收益，当前证据更倾向于结构序列化/编码问题。</w:t>
      </w:r>
    </w:p>
    <w:p>
      <w:r>
        <w:t>cell-count mismatch只有11条，delta=-0.005784，差于exact桶的-0.003434；它可以作为后续门控候选特征，但样本很少，任务2不能据此直接冻结阈值。</w:t>
      </w:r>
    </w:p>
    <w:p>
      <w:r>
        <w:t>各表格大小桶均为负增益，medium桶退化最小（-0.001898）；cell证据层级delta=-0.003615，table层级delta=-0.002937。hybrid问题出现+0.000631的局部正值，但不能代表稳定总体收益，仍需任务4的dev门控实验验证。</w:t>
      </w:r>
    </w:p>
    <w:p>
      <w:pPr>
        <w:pStyle w:val="Heading3"/>
      </w:pPr>
      <w:r>
        <w:t>任务2最终验收：</w:t>
      </w:r>
    </w:p>
    <w:p>
      <w:r>
        <w:t>☑ dev 883条、test 1147条结构字段完整合并，无缺失、无重复。</w:t>
      </w:r>
    </w:p>
    <w:p>
      <w:r>
        <w:t>☑ 每个分桶均包含规定指标、count和win/both-fail rate。</w:t>
      </w:r>
    </w:p>
    <w:p>
      <w:r>
        <w:t>☑ 六个维度的桶count均覆盖全集，按count加权可精确回算总体指标。</w:t>
      </w:r>
    </w:p>
    <w:p>
      <w:r>
        <w:t>☑ 3个输入和15个输出的SHA256全部复算一致。</w:t>
      </w:r>
    </w:p>
    <w:p>
      <w:r>
        <w:t>☑ test未参与分桶边界或方案选择；任务2只做诊断，不冻结门控规则。</w:t>
      </w:r>
    </w:p>
    <w:p>
      <w:r>
        <w:t>☑ diagnosis_summary.md已指出高S-TEDS仍退化，可进入任务3及后续dev实验。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sz w:val="32"/>
        </w:rPr>
        <w:t>任务 3：人工分析 Flat 胜、UniTable 胜、二者都失败各 30 个案例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工作目标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从配对表中导出典型案例，人工判断差距来源，区分结构预测错误、序列化错误、证据映射错误、检索器语义错误和粒度错误。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具体内容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从 test 配对表中抽取 Flat 胜、UniTable 胜、二者都失败三类案例。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Flat 胜案例按 delta_ndcg 升序选取 30 条；UniTable 胜案例按 delta_ndcg 降序选取 30 条；both_fail 案例选取 30 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每条案例导出 question、gold evidence、Flat top-5、UniTable top-5、S-TEDS、cell-count consistency 和结构摘要。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增加人工填写列：error_type、manual_note、whether_structure_helpful。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错误类型建议包括 structure_prediction_error、serialization_error、evidence_mapping_error、retriever_semantic_error、row_cell_granularity_error、numeric_reasoning_related 和 other。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核心输出文件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outputs/diagnosis/manual_cases_flat_win.xlsx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outputs/diagnosis/manual_cases_unitable_win.xlsx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outputs/diagnosis/manual_cases_both_fail.xlsx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outputs/diagnosis/manual_case_analysis_summary.md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验收内容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每类至少 30 条案例，共不少于 90 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每条案例均包含 question、gold evidence、Flat top-5 和 UniTable top-5。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人工完成错误归因标签和备注。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总结 Flat 胜、UniTable 胜、二者失败的主要原因。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案例抽取规则固定，不挑选有利样本。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Codex 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请执行任务 3：创建 src/evaluation/export_manual_cases.py，从 pairwise_flat_unitable_test.csv 中抽取 Flat 胜、UniTable 胜、二者都失败三类案例，每类 30 条。Flat 胜按 delta_ndcg 升序选取，UniTable 胜按 delta_ndcg 降序选取，both_fail 从二者均未命中或 NDCG 均低的样本中选取。每条案例需要导出 question、sample_id、company、question_type、gold evidence、Flat top-5 evidence、UniTable top-5 evidence、Flat/UniTable gold rank、S-TEDS、cell-count consistency、predicted structure summary，并预留人工填写列 error_type、manual_note、whether_structure_helpful。输出 Excel 文件到 outputs/diagnosis/。脚本不做自动结论，不修改评测结果。</w:t>
            </w:r>
          </w:p>
        </w:tc>
      </w:tr>
    </w:tbl>
    <w:p>
      <w:pPr>
        <w:pStyle w:val="Heading3"/>
      </w:pPr>
      <w:r>
        <w:t>任务 3实际执行与验收结果（2026-08-04）</w:t>
      </w:r>
    </w:p>
    <w:p>
      <w:r>
        <w:t>执行状态：案例导出与技术验收PASS；人工错误归因尚待填写，不生成自动结论。</w:t>
      </w:r>
    </w:p>
    <w:p>
      <w:pPr>
        <w:pStyle w:val="ListBullet"/>
      </w:pPr>
      <w:r>
        <w:t>实现脚本：src/evaluation/export_manual_cases.py。脚本使用固定规则从test配对表导出案例，支持CLI、seed、日志、显式overwrite、输入一致性检查和SHA256。</w:t>
      </w:r>
    </w:p>
    <w:p>
      <w:pPr>
        <w:pStyle w:val="ListBullet"/>
      </w:pPr>
      <w:r>
        <w:t>输出：outputs/diagnosis/manual_cases_flat_win.xlsx、manual_cases_unitable_win.xlsx、manual_cases_both_fail.xlsx；每份30条。</w:t>
      </w:r>
    </w:p>
    <w:p>
      <w:pPr>
        <w:pStyle w:val="ListBullet"/>
      </w:pPr>
      <w:r>
        <w:t>每条案例均包含问题与元数据、两路gold evidence、两路Top-5证据及分数、gold rank、S-TEDS、cell-count consistency、预测/真实行列单元格数和UniTable预测HTML摘要。</w:t>
      </w:r>
    </w:p>
    <w:p>
      <w:pPr>
        <w:pStyle w:val="ListBullet"/>
      </w:pPr>
      <w:r>
        <w:t>error_type、manual_note、whether_structure_helpful三列保持空白，并配置下拉候选；脚本没有自动填写归因，也没有据test案例选择阈值或调整模型。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案例组</w:t>
            </w:r>
          </w:p>
        </w:tc>
        <w:tc>
          <w:tcPr>
            <w:tcW w:type="dxa" w:w="1994"/>
          </w:tcPr>
          <w:p>
            <w:r>
              <w:t>数量</w:t>
            </w:r>
          </w:p>
        </w:tc>
        <w:tc>
          <w:tcPr>
            <w:tcW w:type="dxa" w:w="1994"/>
          </w:tcPr>
          <w:p>
            <w:r>
              <w:t>固定选择规则</w:t>
            </w:r>
          </w:p>
        </w:tc>
        <w:tc>
          <w:tcPr>
            <w:tcW w:type="dxa" w:w="1994"/>
          </w:tcPr>
          <w:p>
            <w:r>
              <w:t>delta最小值</w:t>
            </w:r>
          </w:p>
        </w:tc>
        <w:tc>
          <w:tcPr>
            <w:tcW w:type="dxa" w:w="1994"/>
          </w:tcPr>
          <w:p>
            <w:r>
              <w:t>delta最大值</w:t>
            </w:r>
          </w:p>
        </w:tc>
      </w:tr>
      <w:tr>
        <w:tc>
          <w:tcPr>
            <w:tcW w:type="dxa" w:w="1994"/>
          </w:tcPr>
          <w:p>
            <w:r>
              <w:t>Flat胜</w:t>
            </w:r>
          </w:p>
        </w:tc>
        <w:tc>
          <w:tcPr>
            <w:tcW w:type="dxa" w:w="1994"/>
          </w:tcPr>
          <w:p>
            <w:r>
              <w:t>30</w:t>
            </w:r>
          </w:p>
        </w:tc>
        <w:tc>
          <w:tcPr>
            <w:tcW w:type="dxa" w:w="1994"/>
          </w:tcPr>
          <w:p>
            <w:r>
              <w:t>delta升序，query_id打破并列</w:t>
            </w:r>
          </w:p>
        </w:tc>
        <w:tc>
          <w:tcPr>
            <w:tcW w:type="dxa" w:w="1994"/>
          </w:tcPr>
          <w:p>
            <w:r>
              <w:t>-0.369070</w:t>
            </w:r>
          </w:p>
        </w:tc>
        <w:tc>
          <w:tcPr>
            <w:tcW w:type="dxa" w:w="1994"/>
          </w:tcPr>
          <w:p>
            <w:r>
              <w:t>-0.130930</w:t>
            </w:r>
          </w:p>
        </w:tc>
      </w:tr>
      <w:tr>
        <w:tc>
          <w:tcPr>
            <w:tcW w:type="dxa" w:w="1994"/>
          </w:tcPr>
          <w:p>
            <w:r>
              <w:t>UniTable胜</w:t>
            </w:r>
          </w:p>
        </w:tc>
        <w:tc>
          <w:tcPr>
            <w:tcW w:type="dxa" w:w="1994"/>
          </w:tcPr>
          <w:p>
            <w:r>
              <w:t>30</w:t>
            </w:r>
          </w:p>
        </w:tc>
        <w:tc>
          <w:tcPr>
            <w:tcW w:type="dxa" w:w="1994"/>
          </w:tcPr>
          <w:p>
            <w:r>
              <w:t>delta降序，query_id打破并列</w:t>
            </w:r>
          </w:p>
        </w:tc>
        <w:tc>
          <w:tcPr>
            <w:tcW w:type="dxa" w:w="1994"/>
          </w:tcPr>
          <w:p>
            <w:r>
              <w:t>0.130127</w:t>
            </w:r>
          </w:p>
        </w:tc>
        <w:tc>
          <w:tcPr>
            <w:tcW w:type="dxa" w:w="1994"/>
          </w:tcPr>
          <w:p>
            <w:r>
              <w:t>0.410392</w:t>
            </w:r>
          </w:p>
        </w:tc>
      </w:tr>
      <w:tr>
        <w:tc>
          <w:tcPr>
            <w:tcW w:type="dxa" w:w="1994"/>
          </w:tcPr>
          <w:p>
            <w:r>
              <w:t>二者都失败</w:t>
            </w:r>
          </w:p>
        </w:tc>
        <w:tc>
          <w:tcPr>
            <w:tcW w:type="dxa" w:w="1994"/>
          </w:tcPr>
          <w:p>
            <w:r>
              <w:t>30</w:t>
            </w:r>
          </w:p>
        </w:tc>
        <w:tc>
          <w:tcPr>
            <w:tcW w:type="dxa" w:w="1994"/>
          </w:tcPr>
          <w:p>
            <w:r>
              <w:t>双路Top-10未命中；NDCG升序、最佳rank降序</w:t>
            </w:r>
          </w:p>
        </w:tc>
        <w:tc>
          <w:tcPr>
            <w:tcW w:type="dxa" w:w="1994"/>
          </w:tcPr>
          <w:p>
            <w:r>
              <w:t>0.000000</w:t>
            </w:r>
          </w:p>
        </w:tc>
        <w:tc>
          <w:tcPr>
            <w:tcW w:type="dxa" w:w="1994"/>
          </w:tcPr>
          <w:p>
            <w:r>
              <w:t>0.000000</w:t>
            </w:r>
          </w:p>
        </w:tc>
      </w:tr>
    </w:tbl>
    <w:p>
      <w:r>
        <w:t>技术验收结果：90个query互不重复；Flat胜delta范围[-0.369070,-0.130930]；UniTable胜范围[0.130127,0.410392]；both_fail的两路NDCG均为0且两路gold rank均大于10。</w:t>
      </w:r>
    </w:p>
    <w:p>
      <w:r>
        <w:t>SHA256验收：7个输入和3个Excel输出全部复算一致。输入包括配对表、两路冻结检索结果、两路语料、结构指标和UniTable原始结构预测。</w:t>
      </w:r>
    </w:p>
    <w:p>
      <w:pPr>
        <w:pStyle w:val="Heading3"/>
      </w:pPr>
      <w:r>
        <w:t>任务3当前验收：</w:t>
      </w:r>
    </w:p>
    <w:p>
      <w:r>
        <w:t>☑ 三类案例各30条，共90条；抽取顺序固定，无人工挑选。</w:t>
      </w:r>
    </w:p>
    <w:p>
      <w:r>
        <w:t>☑ question、gold、Flat/UniTable Top-5和全部结构摘要字段完整。</w:t>
      </w:r>
    </w:p>
    <w:p>
      <w:r>
        <w:t>☑ Excel可直接人工填写，三个人工归因列初始为空。</w:t>
      </w:r>
    </w:p>
    <w:p>
      <w:r>
        <w:t>☑ 未修改配对表、检索结果、结构预测或模型。</w:t>
      </w:r>
    </w:p>
    <w:p>
      <w:r>
        <w:t>☐ 人工研究者尚未完成90条error_type、manual_note和structure_helpful标注。</w:t>
      </w:r>
    </w:p>
    <w:p>
      <w:r>
        <w:t>☐ manual_case_analysis_summary.md须在人工标注完成后撰写，当前不得自动下结论。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sz w:val="32"/>
        </w:rPr>
        <w:t>任务 4：做冻结 BGE 下的置信度门控实验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工作目标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在不重新训练 BGE 和不改变语料文本集合的前提下，验证结构质量较高的样本是否适合使用 UniTable 分支，结构质量较低的样本是否应回退 Flat 分支。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具体内容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冻结已有 BGE 编码、Flat 检索分数和 UniTable 检索分数。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构造结构可靠性指标 R，可由 S-TEDS、cell-count consistency、valid_html 和 UniTable confidence 组成。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在 dev 上搜索门控阈值，例如 S-TEDS 分位阈值、cell-count consistency 阈值或综合 R 阈值。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门控规则：若结构质量高于阈值，则使用 UniTable 检索结果；否则使用 Flat 检索结果。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输出每个阈值下的加权 NDCG@10、Table/Row/Cell Recall@5、MRR、MAP 和 worst-client 指标。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在 dev 上选择最优阈值，保存为候选冻结配置，不运行 test。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核心输出文件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outputs/diagnosis/gating/gating_dev_grid.csv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outputs/diagnosis/gating/gating_dev_best_config.json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outputs/diagnosis/gating/gating_dev_summary.md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验收内容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实验完全冻结 BGE，不重新编码或训练。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门控阈值只由 dev 选择。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每个阈值均有完整 dev 指标。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最佳门控配置保存为 JSON，包含阈值、使用的结构质量字段和选择依据。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若门控未超过 Flat dev，明确记录失败原因，不进入 test。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Codex 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请执行任务 4：创建 src/retrieval/evaluate_confidence_gating.py，在冻结 BGE 检索结果基础上进行 Flat/UniTable 置信度门控实验。输入包括 Flat dev 检索结果、UniTable dev 检索结果、pairwise dev 表、结构质量文件和 evidence_map。请实现结构可靠性 R 的计算，支持 S-TEDS 阈值、cell-count consistency 阈值、valid_html 过滤和综合 R 阈值。规则为：高置信度样本使用 UniTable 分支，否则回退 Flat 分支。仅在 dev 上网格搜索阈值，输出每个阈值下的 weighted NDCG@10、Table/Row/Cell NDCG@10、Recall@5、MRR、MAP、global、macro、worst-client 和 std。输出 outputs/diagnosis/gating/gating_dev_grid.csv、gating_dev_best_config.json 和 summary.md。严禁读取 test 选择阈值，严禁重新训练或重新编码。</w:t>
            </w:r>
          </w:p>
        </w:tc>
      </w:tr>
    </w:tbl>
    <w:p>
      <w:pPr>
        <w:pStyle w:val="Heading3"/>
      </w:pPr>
      <w:r>
        <w:t>任务 4实际执行与验收结果（2026-08-20）</w:t>
      </w:r>
    </w:p>
    <w:p>
      <w:r>
        <w:t>执行状态：FAIL_GATE。任务4的dev-only冻结BGE置信度门控已完成，但40个配置均未达到预注册门槛，不允许据此进入正式test。</w:t>
      </w:r>
    </w:p>
    <w:p>
      <w:pPr>
        <w:pStyle w:val="ListBullet"/>
      </w:pPr>
      <w:r>
        <w:t>实现脚本：src/retrieval/evaluate_confidence_gating.py。脚本只读取两路冻结dev检索结果，不加载模型、不训练、不重新编码；对每个query统一选择Flat或UniTable三层结果。</w:t>
      </w:r>
    </w:p>
    <w:p>
      <w:pPr>
        <w:pStyle w:val="ListBullet"/>
      </w:pPr>
      <w:r>
        <w:t>输入包括Flat/UniTable dev检索结果、pairwise dev表、结构质量文件、evidence_map和冻结5客户端划分；覆盖883个dev query，并校验模型指纹、检索协议、query覆盖和split。</w:t>
      </w:r>
    </w:p>
    <w:p>
      <w:pPr>
        <w:pStyle w:val="ListBullet"/>
      </w:pPr>
      <w:r>
        <w:t>综合可靠性R=0.40×S-TEDS+0.25×cell-count consistency+0.15×valid_html+0.20×confidence；同时评估S-TEDS、cell-count、valid_html、confidence、综合R和joint-quality阈值族。</w:t>
      </w:r>
    </w:p>
    <w:p>
      <w:pPr>
        <w:pStyle w:val="ListBullet"/>
      </w:pPr>
      <w:r>
        <w:t>输出：outputs/diagnosis/gating/gating_dev_grid.csv、gating_dev_best_config.json、gating_dev_summary.md和gating_sha256_manifest.json；日志为outputs/logs/diagnosis_gating.log。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dev指标</w:t>
            </w:r>
          </w:p>
        </w:tc>
        <w:tc>
          <w:tcPr>
            <w:tcW w:type="dxa" w:w="2493"/>
          </w:tcPr>
          <w:p>
            <w:r>
              <w:t>Flat baseline</w:t>
            </w:r>
          </w:p>
        </w:tc>
        <w:tc>
          <w:tcPr>
            <w:tcW w:type="dxa" w:w="2493"/>
          </w:tcPr>
          <w:p>
            <w:r>
              <w:t>最佳门控</w:t>
            </w:r>
          </w:p>
        </w:tc>
        <w:tc>
          <w:tcPr>
            <w:tcW w:type="dxa" w:w="2493"/>
          </w:tcPr>
          <w:p>
            <w:r>
              <w:t>变化</w:t>
            </w:r>
          </w:p>
        </w:tc>
      </w:tr>
      <w:tr>
        <w:tc>
          <w:tcPr>
            <w:tcW w:type="dxa" w:w="2493"/>
          </w:tcPr>
          <w:p>
            <w:r>
              <w:t>Weighted NDCG@10</w:t>
            </w:r>
          </w:p>
        </w:tc>
        <w:tc>
          <w:tcPr>
            <w:tcW w:type="dxa" w:w="2493"/>
          </w:tcPr>
          <w:p>
            <w:r>
              <w:t>0.145597802</w:t>
            </w:r>
          </w:p>
        </w:tc>
        <w:tc>
          <w:tcPr>
            <w:tcW w:type="dxa" w:w="2493"/>
          </w:tcPr>
          <w:p>
            <w:r>
              <w:t>0.145597802</w:t>
            </w:r>
          </w:p>
        </w:tc>
        <w:tc>
          <w:tcPr>
            <w:tcW w:type="dxa" w:w="2493"/>
          </w:tcPr>
          <w:p>
            <w:r>
              <w:t>+0.000000000</w:t>
            </w:r>
          </w:p>
        </w:tc>
      </w:tr>
      <w:tr>
        <w:tc>
          <w:tcPr>
            <w:tcW w:type="dxa" w:w="2493"/>
          </w:tcPr>
          <w:p>
            <w:r>
              <w:t>Row Recall@5</w:t>
            </w:r>
          </w:p>
        </w:tc>
        <w:tc>
          <w:tcPr>
            <w:tcW w:type="dxa" w:w="2493"/>
          </w:tcPr>
          <w:p>
            <w:r>
              <w:t>0.327007299</w:t>
            </w:r>
          </w:p>
        </w:tc>
        <w:tc>
          <w:tcPr>
            <w:tcW w:type="dxa" w:w="2493"/>
          </w:tcPr>
          <w:p>
            <w:r>
              <w:t>0.327007299</w:t>
            </w:r>
          </w:p>
        </w:tc>
        <w:tc>
          <w:tcPr>
            <w:tcW w:type="dxa" w:w="2493"/>
          </w:tcPr>
          <w:p>
            <w:r>
              <w:t>+0.000000000</w:t>
            </w:r>
          </w:p>
        </w:tc>
      </w:tr>
      <w:tr>
        <w:tc>
          <w:tcPr>
            <w:tcW w:type="dxa" w:w="2493"/>
          </w:tcPr>
          <w:p>
            <w:r>
              <w:t>Cell Recall@5</w:t>
            </w:r>
          </w:p>
        </w:tc>
        <w:tc>
          <w:tcPr>
            <w:tcW w:type="dxa" w:w="2493"/>
          </w:tcPr>
          <w:p>
            <w:r>
              <w:t>0.236496350</w:t>
            </w:r>
          </w:p>
        </w:tc>
        <w:tc>
          <w:tcPr>
            <w:tcW w:type="dxa" w:w="2493"/>
          </w:tcPr>
          <w:p>
            <w:r>
              <w:t>0.236496350</w:t>
            </w:r>
          </w:p>
        </w:tc>
        <w:tc>
          <w:tcPr>
            <w:tcW w:type="dxa" w:w="2493"/>
          </w:tcPr>
          <w:p>
            <w:r>
              <w:t>+0.000000000</w:t>
            </w:r>
          </w:p>
        </w:tc>
      </w:tr>
      <w:tr>
        <w:tc>
          <w:tcPr>
            <w:tcW w:type="dxa" w:w="2493"/>
          </w:tcPr>
          <w:p>
            <w:r>
              <w:t>Worst-client weighted NDCG@10</w:t>
            </w:r>
          </w:p>
        </w:tc>
        <w:tc>
          <w:tcPr>
            <w:tcW w:type="dxa" w:w="2493"/>
          </w:tcPr>
          <w:p>
            <w:r>
              <w:t>0.099247224</w:t>
            </w:r>
          </w:p>
        </w:tc>
        <w:tc>
          <w:tcPr>
            <w:tcW w:type="dxa" w:w="2493"/>
          </w:tcPr>
          <w:p>
            <w:r>
              <w:t>0.099247224</w:t>
            </w:r>
          </w:p>
        </w:tc>
        <w:tc>
          <w:tcPr>
            <w:tcW w:type="dxa" w:w="2493"/>
          </w:tcPr>
          <w:p>
            <w:r>
              <w:t>+0.000000000</w:t>
            </w:r>
          </w:p>
        </w:tc>
      </w:tr>
    </w:tbl>
    <w:p>
      <w:r>
        <w:t>最佳门控配置为g008（S-TEDS≥0.978494624），仅2/883条query（0.23%）使用UniTable；其weighted NDCG、Row/Cell Recall和worst-client均与Flat完全持平。</w:t>
      </w:r>
    </w:p>
    <w:p>
      <w:r>
        <w:t>门槛判定：weighted NDCG提升要求≥0.003，实际为0；Row或Cell Recall@5提升要求≥0.01，实际均为0；worst-client约束虽未下降，但不足以弥补前两项失败。40个配置通过数为0。</w:t>
      </w:r>
    </w:p>
    <w:p>
      <w:r>
        <w:t>验证结果：新增门控测试与相关测试共11项通过；完整项目测试25 passed、2 warnings。40个config_id唯一，输出SHA256复算一致。</w:t>
      </w:r>
    </w:p>
    <w:p>
      <w:pPr>
        <w:pStyle w:val="Heading3"/>
      </w:pPr>
      <w:r>
        <w:t>任务4最终验收：</w:t>
      </w:r>
    </w:p>
    <w:p>
      <w:r>
        <w:t>☑ 完全冻结BGE，仅聚合已有dev逐query检索指标；未训练或重新编码。</w:t>
      </w:r>
    </w:p>
    <w:p>
      <w:r>
        <w:t>☑ 所有阈值和最佳配置只由dev选择，test未参与搜索或判定。</w:t>
      </w:r>
    </w:p>
    <w:p>
      <w:r>
        <w:t>☑ 完整输出40个配置，包含各层级NDCG/Recall、MRR、MAP及global、macro、worst-client和std。</w:t>
      </w:r>
    </w:p>
    <w:p>
      <w:r>
        <w:t>☑ 最佳配置、输入/输出路径、协议、可靠性公式和SHA256均已保存。</w:t>
      </w:r>
    </w:p>
    <w:p>
      <w:r>
        <w:t>☒ 任务4未达到预注册门槛，不得直接执行任务7正式test。</w:t>
      </w:r>
    </w:p>
    <w:p>
      <w:r>
        <w:t>下一步：继续执行任务5的dev-only Flat/UniTable分数后融合；随后由任务6统一冻结方案或输出fail_decision。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sz w:val="32"/>
        </w:rPr>
        <w:t>任务 5：做冻结 BGE 下的 Flat/UniTable 分数后融合实验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工作目标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验证 UniTable 分支是否提供与 Flat 互补的检索信号。如果融合结果超过 Flat，说明结构分支虽单独较弱，但仍可能通过互补信号提升检索。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具体内容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读取 Flat 与 UniTable 的检索候选及分数，按 evidence_id 对齐候选集合。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对每个 query 内的两路分数进行归一化，避免不同分支分数尺度不一致。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在 dev 上搜索融合权重 alpha，例如 0.0 到 1.0，步长 0.1 或 0.05。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推荐主公式：final_score = alpha * score_flat + (1 - alpha) * score_unitable。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如果分数尺度不可比，可额外报告 rank-based fusion 作为诊断，但主结果仍以固定公式为准。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输出每个 alpha 下的 weighted NDCG@10、Table/Row/Cell Recall@5、MRR、MAP、worst-client 和 std。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核心输出文件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outputs/diagnosis/fusion/fusion_dev_grid.csv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outputs/diagnosis/fusion/fusion_dev_best_config.json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outputs/diagnosis/fusion/fusion_dev_summary.md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验收内容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融合权重只在 dev 上搜索。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Flat 和 UniTable 候选按 evidence_id 对齐，未出现在某一路的候选有明确默认分数。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分数归一化策略固定并记录。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输出完整 alpha 网格，不只保留最佳结果。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若融合未超过 Flat dev，明确记录不进入 test 的原因。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Codex 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请执行任务 5：创建 src/retrieval/evaluate_score_fusion.py，在冻结 BGE 检索结果基础上进行 Flat/UniTable 分数后融合。脚本读取 Flat dev 检索结果、UniTable dev 检索结果、queries 和 evidence_map，按 query_id 与 evidence_id 对齐两路候选集合。对每个 query 内的分数进行归一化，支持 min-max、z-score 和 rank_score 三种方式，默认使用 z-score。搜索 alpha ∈ {0.0,0.1,...,1.0}，计算 final_score = alpha * score_flat + (1-alpha) * score_unitable，并重新排序评测。输出 weighted NDCG@10、Table/Row/Cell NDCG@10、Recall@5、MRR、MAP、global、macro、worst-client 和 std。输出 fusion_dev_grid.csv、fusion_dev_best_config.json 和 summary.md。严禁读取 test 选择 alpha，严禁重新训练或重新编码。</w:t>
            </w:r>
          </w:p>
        </w:tc>
      </w:tr>
    </w:tbl>
    <w:p>
      <w:pPr>
        <w:pStyle w:val="Heading3"/>
      </w:pPr>
      <w:r>
        <w:t>任务 5实际执行与验收结果（2026-08-20）</w:t>
      </w:r>
    </w:p>
    <w:p>
      <w:r>
        <w:t>执行状态：DEV_NUMERIC_CANDIDATE_WITH_POOL_LIMITATION。任务5已完成33项dev-only冻结分数融合；存在1个通过融合池内数值筛查的候选，但受冻结Top-10候选池与跨分支evidence ID口径限制，当前不允许进入正式test。</w:t>
      </w:r>
    </w:p>
    <w:p>
      <w:pPr>
        <w:pStyle w:val="ListBullet"/>
      </w:pPr>
      <w:r>
        <w:t>实现脚本：src/retrieval/evaluate_score_fusion.py。脚本不加载模型、不训练、不重新编码，读取两路冻结dev Top-10分数、两路queries、evidence_map及冻结5客户端划分。</w:t>
      </w:r>
    </w:p>
    <w:p>
      <w:pPr>
        <w:pStyle w:val="ListBullet"/>
      </w:pPr>
      <w:r>
        <w:t>归一化支持z-score、min-max和rank_score；每种方式搜索alpha∈{0.0,0.1,…,1.0}，公式为final_score=alpha×score_flat+(1-alpha)×score_unitable。</w:t>
      </w:r>
    </w:p>
    <w:p>
      <w:pPr>
        <w:pStyle w:val="ListBullet"/>
      </w:pPr>
      <w:r>
        <w:t>候选按精确evidence_id对齐，缺失分数置于该分支归一化最低分以下1单位；Table平均并集大小10.0793，Row/Cell均为20，说明Row/Cell两路Top-10 ID完全不重叠。</w:t>
      </w:r>
    </w:p>
    <w:p>
      <w:pPr>
        <w:pStyle w:val="ListBullet"/>
      </w:pPr>
      <w:r>
        <w:t>输出：outputs/diagnosis/fusion/fusion_dev_grid.csv、fusion_dev_best_config.json、fusion_dev_summary.md和fusion_sha256_manifest.json；日志为outputs/logs/diagnosis_fusion.log。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配置</w:t>
            </w:r>
          </w:p>
        </w:tc>
        <w:tc>
          <w:tcPr>
            <w:tcW w:type="dxa" w:w="1662"/>
          </w:tcPr>
          <w:p>
            <w:r>
              <w:t>归一化/alpha</w:t>
            </w:r>
          </w:p>
        </w:tc>
        <w:tc>
          <w:tcPr>
            <w:tcW w:type="dxa" w:w="1662"/>
          </w:tcPr>
          <w:p>
            <w:r>
              <w:t>Weighted NDCG@10</w:t>
            </w:r>
          </w:p>
        </w:tc>
        <w:tc>
          <w:tcPr>
            <w:tcW w:type="dxa" w:w="1662"/>
          </w:tcPr>
          <w:p>
            <w:r>
              <w:t>ΔNDCG</w:t>
            </w:r>
          </w:p>
        </w:tc>
        <w:tc>
          <w:tcPr>
            <w:tcW w:type="dxa" w:w="1662"/>
          </w:tcPr>
          <w:p>
            <w:r>
              <w:t>ΔRow R@5</w:t>
            </w:r>
          </w:p>
        </w:tc>
        <w:tc>
          <w:tcPr>
            <w:tcW w:type="dxa" w:w="1662"/>
          </w:tcPr>
          <w:p>
            <w:r>
              <w:t>ΔCell R@5</w:t>
            </w:r>
          </w:p>
        </w:tc>
      </w:tr>
      <w:tr>
        <w:tc>
          <w:tcPr>
            <w:tcW w:type="dxa" w:w="1662"/>
          </w:tcPr>
          <w:p>
            <w:r>
              <w:t>融合池Flat端点</w:t>
            </w:r>
          </w:p>
        </w:tc>
        <w:tc>
          <w:tcPr>
            <w:tcW w:type="dxa" w:w="1662"/>
          </w:tcPr>
          <w:p>
            <w:r>
              <w:t>z-score / 1.0</w:t>
            </w:r>
          </w:p>
        </w:tc>
        <w:tc>
          <w:tcPr>
            <w:tcW w:type="dxa" w:w="1662"/>
          </w:tcPr>
          <w:p>
            <w:r>
              <w:t>0.101138660</w:t>
            </w:r>
          </w:p>
        </w:tc>
        <w:tc>
          <w:tcPr>
            <w:tcW w:type="dxa" w:w="1662"/>
          </w:tcPr>
          <w:p>
            <w:r>
              <w:t>+0.000000000</w:t>
            </w:r>
          </w:p>
        </w:tc>
        <w:tc>
          <w:tcPr>
            <w:tcW w:type="dxa" w:w="1662"/>
          </w:tcPr>
          <w:p>
            <w:r>
              <w:t>+0.000000000</w:t>
            </w:r>
          </w:p>
        </w:tc>
        <w:tc>
          <w:tcPr>
            <w:tcW w:type="dxa" w:w="1662"/>
          </w:tcPr>
          <w:p>
            <w:r>
              <w:t>+0.000000000</w:t>
            </w:r>
          </w:p>
        </w:tc>
      </w:tr>
      <w:tr>
        <w:tc>
          <w:tcPr>
            <w:tcW w:type="dxa" w:w="1662"/>
          </w:tcPr>
          <w:p>
            <w:r>
              <w:t>全局NDCG最高 f016</w:t>
            </w:r>
          </w:p>
        </w:tc>
        <w:tc>
          <w:tcPr>
            <w:tcW w:type="dxa" w:w="1662"/>
          </w:tcPr>
          <w:p>
            <w:r>
              <w:t>min-max / 0.5</w:t>
            </w:r>
          </w:p>
        </w:tc>
        <w:tc>
          <w:tcPr>
            <w:tcW w:type="dxa" w:w="1662"/>
          </w:tcPr>
          <w:p>
            <w:r>
              <w:t>0.115483709</w:t>
            </w:r>
          </w:p>
        </w:tc>
        <w:tc>
          <w:tcPr>
            <w:tcW w:type="dxa" w:w="1662"/>
          </w:tcPr>
          <w:p>
            <w:r>
              <w:t>+0.014345050</w:t>
            </w:r>
          </w:p>
        </w:tc>
        <w:tc>
          <w:tcPr>
            <w:tcW w:type="dxa" w:w="1662"/>
          </w:tcPr>
          <w:p>
            <w:r>
              <w:t>-0.029197080</w:t>
            </w:r>
          </w:p>
        </w:tc>
        <w:tc>
          <w:tcPr>
            <w:tcW w:type="dxa" w:w="1662"/>
          </w:tcPr>
          <w:p>
            <w:r>
              <w:t>-0.046715328</w:t>
            </w:r>
          </w:p>
        </w:tc>
      </w:tr>
      <w:tr>
        <w:tc>
          <w:tcPr>
            <w:tcW w:type="dxa" w:w="1662"/>
          </w:tcPr>
          <w:p>
            <w:r>
              <w:t>数值筛查候选 f006</w:t>
            </w:r>
          </w:p>
        </w:tc>
        <w:tc>
          <w:tcPr>
            <w:tcW w:type="dxa" w:w="1662"/>
          </w:tcPr>
          <w:p>
            <w:r>
              <w:t>z-score / 0.6</w:t>
            </w:r>
          </w:p>
        </w:tc>
        <w:tc>
          <w:tcPr>
            <w:tcW w:type="dxa" w:w="1662"/>
          </w:tcPr>
          <w:p>
            <w:r>
              <w:t>0.114671709</w:t>
            </w:r>
          </w:p>
        </w:tc>
        <w:tc>
          <w:tcPr>
            <w:tcW w:type="dxa" w:w="1662"/>
          </w:tcPr>
          <w:p>
            <w:r>
              <w:t>+0.013533049</w:t>
            </w:r>
          </w:p>
        </w:tc>
        <w:tc>
          <w:tcPr>
            <w:tcW w:type="dxa" w:w="1662"/>
          </w:tcPr>
          <w:p>
            <w:r>
              <w:t>+0.010218978</w:t>
            </w:r>
          </w:p>
        </w:tc>
        <w:tc>
          <w:tcPr>
            <w:tcW w:type="dxa" w:w="1662"/>
          </w:tcPr>
          <w:p>
            <w:r>
              <w:t>-0.013138686</w:t>
            </w:r>
          </w:p>
        </w:tc>
      </w:tr>
    </w:tbl>
    <w:p>
      <w:r>
        <w:t>全局NDCG最高配置f016相对融合池Flat端点提升+0.014345050，但Row Recall@5下降-0.029197080、Cell Recall@5下降-0.046715328，因此不满足完整门槛。</w:t>
      </w:r>
    </w:p>
    <w:p>
      <w:r>
        <w:t>唯一池内数值筛查候选f006的weighted NDCG提升+0.013533049，Row Recall@5提升+0.010218978，worst-client提升+0.004596939；Cell Recall@5变化-0.013138686。其数值满足三项局部门槛。</w:t>
      </w:r>
    </w:p>
    <w:p>
      <w:r>
        <w:t>关键口径边界：冻结JSON只保存每路Top-10分数。融合池Flat端点weighted NDCG为0.101138660，原冻结全语料Flat参考值为0.145597802；因Row/Cell存在两套不重叠表示ID，二者绝对值不可直接比较。MRR/MAP也仅为截断融合池诊断指标。</w:t>
      </w:r>
    </w:p>
    <w:p>
      <w:r>
        <w:t>稳定性边界：当前只有seed=42的冻结零样本分数，尚不能证明至少两个seed方向一致，也尚未证明收益不集中于单个结构质量桶。因此f006只能交由任务6审查，不能视为已冻结PASS。</w:t>
      </w:r>
    </w:p>
    <w:p>
      <w:pPr>
        <w:pStyle w:val="Heading3"/>
      </w:pPr>
      <w:r>
        <w:t>任务5最终验收：</w:t>
      </w:r>
    </w:p>
    <w:p>
      <w:r>
        <w:t>☑ 仅使用dev冻结候选和分数，未读取test选alpha，未训练或重新编码。</w:t>
      </w:r>
    </w:p>
    <w:p>
      <w:r>
        <w:t>☑ 三种归一化×11个alpha共33项完整输出，Flat/UniTable端点经过排序测试。</w:t>
      </w:r>
    </w:p>
    <w:p>
      <w:r>
        <w:t>☑ 输出各层级NDCG、Recall@5、MRR、MAP及global、macro、worst-client和std。</w:t>
      </w:r>
    </w:p>
    <w:p>
      <w:r>
        <w:t>☑ 输入/输出SHA256复算一致；完整项目测试29 passed、2 warnings。</w:t>
      </w:r>
    </w:p>
    <w:p>
      <w:r>
        <w:t>☒ 当前结果受Top-10并集口径限制且缺少两seed稳定性证据，不得直接执行任务7。</w:t>
      </w:r>
    </w:p>
    <w:p>
      <w:r>
        <w:t>下一步：执行任务6，仅基于dev统一审查任务4与任务5，并冻结frozen_config或fail_decision。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sz w:val="32"/>
        </w:rPr>
        <w:t>任务 6：只在 dev 上选阈值和融合权重，并冻结方案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工作目标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统一比较置信度门控与分数融合在 dev 上的效果，按照预注册门槛选择是否有候选方案可以进入正式 test。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具体内容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汇总 gating_dev_grid.csv 和 fusion_dev_grid.csv。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与 Flat dev 基线比较 weighted NDCG@10、Row/Cell Recall@5、worst-client 和各层级 NDCG。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只用 dev 选择最终方案：none、gating、fusion 或 gating+fusion。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保存 frozen_config.json，记录阈值、alpha、归一化方式、选择依据、Flat dev 基线和提升幅度。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生成 freeze_manifest.json，包含输入文件、配置文件、脚本文件和输出文件 SHA256。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如果没有方案达到门槛，则冻结 fail_decision.json，并停止 test。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核心输出文件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outputs/diagnosis/frozen_selection/frozen_config.json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outputs/diagnosis/frozen_selection/freeze_manifest.json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outputs/diagnosis/frozen_selection/dev_selection_report.md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outputs/diagnosis/frozen_selection/fail_decision.json（若未通过）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验收内容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方案选择完全基于 dev。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报告是否达到预注册门槛。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冻结配置中包含可复现的阈值、权重、输入路径和脚本路径。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如果未达到门槛，不运行 test。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如果达到门槛，明确允许任务 7 只进行一次正式 test。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Codex 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请执行任务 6：创建 src/evaluation/select_and_freeze_structure_strategy.py，读取 gating_dev_grid.csv、fusion_dev_grid.csv、Flat dev 基线和预注册门槛，选择最终结构策略。候选包括 none、gating、fusion、gating_plus_fusion。选择标准必须只基于 dev weighted NDCG@10、Row/Cell Recall@5、worst-client 和预注册门槛：dev 加权 NDCG 至少超过 Flat 0.003，Row 或 Cell Recall@5 至少提升 1 个百分点，worst-client 下降不超过 0.005。输出 frozen_config.json、freeze_manifest.json 和 dev_selection_report.md。若没有任何方案通过门槛，输出 fail_decision.json，并在报告中写明不得进入正式 test。脚本不得读取 test 结果。</w:t>
            </w:r>
          </w:p>
        </w:tc>
      </w:tr>
    </w:tbl>
    <w:p>
      <w:pPr>
        <w:pStyle w:val="Heading3"/>
      </w:pPr>
      <w:r>
        <w:t>任务 6实际执行与验收结果（2026-08-20）</w:t>
      </w:r>
    </w:p>
    <w:p>
      <w:r>
        <w:t>执行状态：FAIL_NO_DEV_STRATEGY。任务6已仅基于dev统一审查none、gating、fusion和gating_plus_fusion；通过候选数为0，正式test未获授权。</w:t>
      </w:r>
    </w:p>
    <w:p>
      <w:pPr>
        <w:pStyle w:val="ListBullet"/>
      </w:pPr>
      <w:r>
        <w:t>实现脚本：src/evaluation/select_and_freeze_structure_strategy.py。脚本只读取任务4/5的dev网格、最佳配置和SHA256清单，不重新检索、不训练、不重新编码，并拒绝文件名含test的输入。</w:t>
      </w:r>
    </w:p>
    <w:p>
      <w:pPr>
        <w:pStyle w:val="ListBullet"/>
      </w:pPr>
      <w:r>
        <w:t>统一canonical Flat dev基线：weighted NDCG@10=0.145597802，Row Recall@5=0.327007299，Cell Recall@5=0.236496350，worst-client=0.099247224。</w:t>
      </w:r>
    </w:p>
    <w:p>
      <w:pPr>
        <w:pStyle w:val="ListBullet"/>
      </w:pPr>
      <w:r>
        <w:t>预注册门槛：Δweighted NDCG≥0.003；ΔRow或ΔCell Recall@5≥0.01；Δworst-client≥-0.005。所有候选均相对同一canonical Flat重新判定，不沿用网格内部标志。</w:t>
      </w:r>
    </w:p>
    <w:p>
      <w:pPr>
        <w:pStyle w:val="ListBullet"/>
      </w:pPr>
      <w:r>
        <w:t>输出：outputs/diagnosis/frozen_selection/fail_decision.json、freeze_manifest.json和dev_selection_report.md；未生成frozen_config.json。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策略</w:t>
            </w:r>
          </w:p>
        </w:tc>
        <w:tc>
          <w:tcPr>
            <w:tcW w:type="dxa" w:w="1662"/>
          </w:tcPr>
          <w:p>
            <w:r>
              <w:t>配置</w:t>
            </w:r>
          </w:p>
        </w:tc>
        <w:tc>
          <w:tcPr>
            <w:tcW w:type="dxa" w:w="1662"/>
          </w:tcPr>
          <w:p>
            <w:r>
              <w:t>Weighted NDCG@10</w:t>
            </w:r>
          </w:p>
        </w:tc>
        <w:tc>
          <w:tcPr>
            <w:tcW w:type="dxa" w:w="1662"/>
          </w:tcPr>
          <w:p>
            <w:r>
              <w:t>ΔNDCG</w:t>
            </w:r>
          </w:p>
        </w:tc>
        <w:tc>
          <w:tcPr>
            <w:tcW w:type="dxa" w:w="1662"/>
          </w:tcPr>
          <w:p>
            <w:r>
              <w:t>协议可比</w:t>
            </w:r>
          </w:p>
        </w:tc>
        <w:tc>
          <w:tcPr>
            <w:tcW w:type="dxa" w:w="1662"/>
          </w:tcPr>
          <w:p>
            <w:r>
              <w:t>判定</w:t>
            </w:r>
          </w:p>
        </w:tc>
      </w:tr>
      <w:tr>
        <w:tc>
          <w:tcPr>
            <w:tcW w:type="dxa" w:w="1662"/>
          </w:tcPr>
          <w:p>
            <w:r>
              <w:t>none</w:t>
            </w:r>
          </w:p>
        </w:tc>
        <w:tc>
          <w:tcPr>
            <w:tcW w:type="dxa" w:w="1662"/>
          </w:tcPr>
          <w:p>
            <w:r>
              <w:t>g000</w:t>
            </w:r>
          </w:p>
        </w:tc>
        <w:tc>
          <w:tcPr>
            <w:tcW w:type="dxa" w:w="1662"/>
          </w:tcPr>
          <w:p>
            <w:r>
              <w:t>0.145597802</w:t>
            </w:r>
          </w:p>
        </w:tc>
        <w:tc>
          <w:tcPr>
            <w:tcW w:type="dxa" w:w="1662"/>
          </w:tcPr>
          <w:p>
            <w:r>
              <w:t>+0.000000000</w:t>
            </w:r>
          </w:p>
        </w:tc>
        <w:tc>
          <w:tcPr>
            <w:tcW w:type="dxa" w:w="1662"/>
          </w:tcPr>
          <w:p>
            <w:r>
              <w:t>是</w:t>
            </w:r>
          </w:p>
        </w:tc>
        <w:tc>
          <w:tcPr>
            <w:tcW w:type="dxa" w:w="1662"/>
          </w:tcPr>
          <w:p>
            <w:r>
              <w:t>FAIL：无提升</w:t>
            </w:r>
          </w:p>
        </w:tc>
      </w:tr>
      <w:tr>
        <w:tc>
          <w:tcPr>
            <w:tcW w:type="dxa" w:w="1662"/>
          </w:tcPr>
          <w:p>
            <w:r>
              <w:t>gating</w:t>
            </w:r>
          </w:p>
        </w:tc>
        <w:tc>
          <w:tcPr>
            <w:tcW w:type="dxa" w:w="1662"/>
          </w:tcPr>
          <w:p>
            <w:r>
              <w:t>g008</w:t>
            </w:r>
          </w:p>
        </w:tc>
        <w:tc>
          <w:tcPr>
            <w:tcW w:type="dxa" w:w="1662"/>
          </w:tcPr>
          <w:p>
            <w:r>
              <w:t>0.145597802</w:t>
            </w:r>
          </w:p>
        </w:tc>
        <w:tc>
          <w:tcPr>
            <w:tcW w:type="dxa" w:w="1662"/>
          </w:tcPr>
          <w:p>
            <w:r>
              <w:t>+0.000000000</w:t>
            </w:r>
          </w:p>
        </w:tc>
        <w:tc>
          <w:tcPr>
            <w:tcW w:type="dxa" w:w="1662"/>
          </w:tcPr>
          <w:p>
            <w:r>
              <w:t>是</w:t>
            </w:r>
          </w:p>
        </w:tc>
        <w:tc>
          <w:tcPr>
            <w:tcW w:type="dxa" w:w="1662"/>
          </w:tcPr>
          <w:p>
            <w:r>
              <w:t>FAIL</w:t>
            </w:r>
          </w:p>
        </w:tc>
      </w:tr>
      <w:tr>
        <w:tc>
          <w:tcPr>
            <w:tcW w:type="dxa" w:w="1662"/>
          </w:tcPr>
          <w:p>
            <w:r>
              <w:t>fusion</w:t>
            </w:r>
          </w:p>
        </w:tc>
        <w:tc>
          <w:tcPr>
            <w:tcW w:type="dxa" w:w="1662"/>
          </w:tcPr>
          <w:p>
            <w:r>
              <w:t>f016</w:t>
            </w:r>
          </w:p>
        </w:tc>
        <w:tc>
          <w:tcPr>
            <w:tcW w:type="dxa" w:w="1662"/>
          </w:tcPr>
          <w:p>
            <w:r>
              <w:t>0.115483709</w:t>
            </w:r>
          </w:p>
        </w:tc>
        <w:tc>
          <w:tcPr>
            <w:tcW w:type="dxa" w:w="1662"/>
          </w:tcPr>
          <w:p>
            <w:r>
              <w:t>-0.030114093</w:t>
            </w:r>
          </w:p>
        </w:tc>
        <w:tc>
          <w:tcPr>
            <w:tcW w:type="dxa" w:w="1662"/>
          </w:tcPr>
          <w:p>
            <w:r>
              <w:t>否：Top-10 union</w:t>
            </w:r>
          </w:p>
        </w:tc>
        <w:tc>
          <w:tcPr>
            <w:tcW w:type="dxa" w:w="1662"/>
          </w:tcPr>
          <w:p>
            <w:r>
              <w:t>FAIL</w:t>
            </w:r>
          </w:p>
        </w:tc>
      </w:tr>
      <w:tr>
        <w:tc>
          <w:tcPr>
            <w:tcW w:type="dxa" w:w="1662"/>
          </w:tcPr>
          <w:p>
            <w:r>
              <w:t>gating+fusion</w:t>
            </w:r>
          </w:p>
        </w:tc>
        <w:tc>
          <w:tcPr>
            <w:tcW w:type="dxa" w:w="1662"/>
          </w:tcPr>
          <w:p>
            <w:r>
              <w:t>NA</w:t>
            </w:r>
          </w:p>
        </w:tc>
        <w:tc>
          <w:tcPr>
            <w:tcW w:type="dxa" w:w="1662"/>
          </w:tcPr>
          <w:p>
            <w:r>
              <w:t>NA</w:t>
            </w:r>
          </w:p>
        </w:tc>
        <w:tc>
          <w:tcPr>
            <w:tcW w:type="dxa" w:w="1662"/>
          </w:tcPr>
          <w:p>
            <w:r>
              <w:t>NA</w:t>
            </w:r>
          </w:p>
        </w:tc>
        <w:tc>
          <w:tcPr>
            <w:tcW w:type="dxa" w:w="1662"/>
          </w:tcPr>
          <w:p>
            <w:r>
              <w:t>否：无独立dev网格</w:t>
            </w:r>
          </w:p>
        </w:tc>
        <w:tc>
          <w:tcPr>
            <w:tcW w:type="dxa" w:w="1662"/>
          </w:tcPr>
          <w:p>
            <w:r>
              <w:t>不可评估/FAIL</w:t>
            </w:r>
          </w:p>
        </w:tc>
      </w:tr>
    </w:tbl>
    <w:p>
      <w:r>
        <w:t>最佳gating配置g008与Flat完全持平，Δweighted NDCG=+0.000000000，未达到0.003门槛。</w:t>
      </w:r>
    </w:p>
    <w:p>
      <w:r>
        <w:t>fusion最高配置f016的池内weighted NDCG=0.115483709；相对canonical Flat为-0.030114093，Row/Cell Recall和worst-client也未同时过门槛，且Top-10 union与全语料Flat口径不完全可比。</w:t>
      </w:r>
    </w:p>
    <w:p>
      <w:r>
        <w:t>gating_plus_fusion没有独立dev网格；任务6没有拼接任务4/5最佳参数或伪造组合指标，因此按不可评估/未通过处理。</w:t>
      </w:r>
    </w:p>
    <w:p>
      <w:r>
        <w:t>冻结决定：生成fail_decision.json并记录formal_test_authorized=false；不生成frozen_config.json，从产物层面阻止任务7读取或启动正式test。</w:t>
      </w:r>
    </w:p>
    <w:p>
      <w:pPr>
        <w:pStyle w:val="Heading3"/>
      </w:pPr>
      <w:r>
        <w:t>任务6最终验收：</w:t>
      </w:r>
    </w:p>
    <w:p>
      <w:r>
        <w:t>☑ 方案选择完全基于dev，test_accessed=false。</w:t>
      </w:r>
    </w:p>
    <w:p>
      <w:r>
        <w:t>☑ 四类候选均有明确审查结果，统一使用canonical Flat和预注册门槛。</w:t>
      </w:r>
    </w:p>
    <w:p>
      <w:r>
        <w:t>☑ 6个上游输入、选择脚本及2个决策输出的SHA256复算一致。</w:t>
      </w:r>
    </w:p>
    <w:p>
      <w:r>
        <w:t>☑ 完整项目测试33 passed、2 warnings；冻结目录不存在frozen_config.json。</w:t>
      </w:r>
    </w:p>
    <w:p>
      <w:r>
        <w:t>☒ 无候选通过门槛，任务7正式test和任务8最小联邦验证均不得执行。</w:t>
      </w:r>
    </w:p>
    <w:p>
      <w:r>
        <w:t>下一步：按实验工作安排跳过任务7和任务8，进入任务9，冻结结构分支负结果并转向问答端数值推理、证据重排序或program generation。</w:t>
      </w:r>
    </w:p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sz w:val="32"/>
        </w:rPr>
        <w:t>任务 7：冻结方案后 test 只跑一次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工作目标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对任务 6 冻结的门控或融合方案执行一次正式 test，生成无偏测试结果，并与 Flat、UniTable、FedTabRAG-Full 的冻结结果比较。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具体内容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读取 frozen_config.json，加载已经冻结的阈值、融合权重和归一化方式。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在 test 上运行一次对应策略，不进行任何参数搜索。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输出 formal_test_once.json 和对应 CSV 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记录输入文件 SHA256、frozen_config SHA256、输出结果 SHA256。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禁止根据 test 结果回头修改阈值、alpha、归一化方式或候选集合。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测试完成后生成 decision_after_test.md，判断是否超过 Flat 并是否进入任务 8。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核心输出文件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outputs/diagnosis/formal_test/formal_test_once.json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outputs/diagnosis/formal_test/formal_test_once.csv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outputs/diagnosis/formal_test/formal_test_sha256.txt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outputs/diagnosis/formal_test/decision_after_test.md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验收内容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test 只运行一次，且输出文件名固定。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正式 test 使用的配置与 frozen_config.json 完全一致。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结果表包含 Flat、UniTable、冻结策略的 weighted NDCG@10、Table/Row/Cell NDCG、Recall@5、MRR、MAP。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没有根据 test 重新选择方案。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decision_after_test.md 明确写出是否进入最小联邦验证。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Codex 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请执行任务 7：创建 src/evaluation/run_frozen_strategy_test_once.py，读取 outputs/diagnosis/frozen_selection/frozen_config.json，并在 test split 上执行一次正式评测。若 frozen_config 指定 gating，则使用冻结阈值；若指定 fusion，则使用冻结 alpha 和归一化方式；若指定 gating_plus_fusion，则按配置执行组合策略。严禁在 test 中搜索任何参数。输出 formal_test_once.json、formal_test_once.csv、formal_test_sha256.txt 和 decision_after_test.md。结果需要与 Flat、UniTable 和 FedTabRAG-Full 的冻结 test 指标并列表达。脚本应检测同名正式 test 文件是否已存在；若存在，默认拒绝覆盖，除非显式传入 --allow-overwrite 并在日志中报警。</w:t>
            </w:r>
          </w:p>
        </w:tc>
      </w:tr>
    </w:tbl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sz w:val="32"/>
        </w:rPr>
        <w:t>任务 8：如果超过 Flat，再进入最小联邦验证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工作目标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只有当冻结 BGE 下的正式 test 超过 Flat，且 dev 选择过程符合预注册要求时，才启动最小联邦验证，检查门控或融合策略在联邦训练环境中是否仍然有效。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具体内容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复用原有 5 客户端 company 原子划分、BGE 初始化、LoRA 设置、本地 epoch、batch、rounds 和 dev weighted NDCG 选模规则。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先做 2 客户端 1-2 轮 smoke，检查配置、显存、日志、checkpoint 和 dev 评测是否正常。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正式运行最小 5 客户端实验，优先 seed=42；资源允许再补 seed=7 和 2026。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只比较必要方法：FedE4RAG-Flat、FedE4RAG-UniTable、FedE4RAG-FrozenStrategy。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如果策略是分数融合，联邦验证应明确是在训练后融合检索分数，还是将门控/融合用于输入选择；二者不能混用。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每个 run 按 dev 选 best，冻结 best 后 test 只运行一次。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核心输出文件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outputs/federated_minimal/fed_strategy_smoke.log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outputs/federated_minimal/fed_strategy_s42/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outputs/federated_minimal/table_minimal_fed_validation.csv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outputs/federated_minimal/minimal_fed_validation_report.md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验收内容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进入联邦验证前，decision_after_test.md 明确允许继续。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2 客户端 smoke 无 NaN、无 OOM、无数据泄漏。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正式实验与基线使用相同 partition hash、模型初始化和训练预算。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所有方法均按 dev 选模，test 只在 best 冻结后运行一次。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报告 global、macro、worst-client、std、通信量、训练时间和峰值显存。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Codex 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请执行任务 8：只有当 outputs/diagnosis/formal_test/decision_after_test.md 标记 PASS_TO_FEDERATED 时，才启动最小联邦验证。创建或复用 src/federated/train_minimal_frozen_strategy.py。先运行 2 客户端 1-2 轮 smoke，检查无 NaN、无 OOM、teacher 无梯度、partition hash 一致、dev 评测可执行。smoke 通过后运行 5 客户端 seed=42 最小实验。所有方法必须使用相同 company mapping、BGE 初始化、LoRA、batch、rounds、本地 epoch、学习率、候选队列和 dev weighted NDCG 选模规则；唯一变化是是否使用 frozen structure strategy。输出 table_minimal_fed_validation.csv 和 minimal_fed_validation_report.md。每个 run 的 test 只能在 dev best 冻结后执行一次。</w:t>
            </w:r>
          </w:p>
        </w:tc>
      </w:tr>
    </w:tbl>
    <w:p>
      <w:pPr>
        <w:pStyle w:val="Heading2"/>
        <w:spacing w:before="200" w:after="120"/>
      </w:pPr>
      <w:r>
        <w:rPr>
          <w:rFonts w:ascii="Noto Sans CJK SC" w:hAnsi="Noto Sans CJK SC" w:eastAsia="Noto Sans CJK SC"/>
          <w:b/>
          <w:sz w:val="32"/>
        </w:rPr>
        <w:t>任务 9：如果仍低于 Flat，停止结构联邦分支，转向问答端数值推理或证据重排序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工作目标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如果冻结 BGE 下的门控或融合仍未超过 Flat，或最小联邦验证不能保持收益，则停止继续优化当前结构联邦分支，将结构实验作为可复现负结果，并把后续重点转向问答端。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具体内容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冻结负结果，不再试探学习率、队列大小、轮数、损失权重或聚合策略。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整理结构分支负结果：Flat 强基线、UniTable 高结构质量但检索收益不足、扰动实验说明结构信号被使用但有效性不足。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输出 stop_structure_branch_report.md，说明停止原因和可发表表述边界。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转向问答端数值推理：检查 gold evidence 已检索但答案错误的样本。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转向证据重排序：在 Flat Top-k 内做轻量 reranker 或规则化数值/指标重排序。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转向 program generation：如果模型未输出 program，则不要报告 Program/Execution Accuracy，只能作为新实验方向。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核心输出文件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outputs/diagnosis/stop_structure_branch_report.md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outputs/diagnosis/negative_result_summary.csv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outputs/qa_next/qa_numeric_error_cases.xlsx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outputs/qa_next/next_stage_qa_plan.md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验收内容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明确写出停止结构联邦分支的判定依据。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不再新增结构联邦训练 run。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负结果表述符合边界：受控渲染 FinQA、oracle cell text、非真实 PDF 端到端。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问答端新方向与检索结构分支区分清楚，避免混淆贡献。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□ 后续计划优先处理 gold evidence 已检索但答案错误的样本。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F4E79"/>
          <w:sz w:val="21"/>
        </w:rPr>
        <w:t>Codex 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请执行任务 9：如果 frozen strategy 未超过 Flat，或最小联邦验证未保持收益，则创建 outputs/diagnosis/stop_structure_branch_report.md 和 outputs/qa_next/next_stage_qa_plan.md。报告应总结 Flat、UniTable、FedTabRAG-Full、多 seed、结构质量、鲁棒性、门控/融合结果和停止原因。明确写出不再继续扩大结构联邦训练预算，不再试探学习率、轮数、队列大小、损失权重或聚合策略。随后从 100 题问答结果中抽取 gold evidence 已检索但答案错误的样本，生成 qa_numeric_error_cases.xlsx，为数值推理、证据重排序或 program generation 的下一阶段实验做准备。注意：不要伪造 program 结果，如果模型没有输出 program，Program/Execution Accuracy 继续记为 NA。</w:t>
            </w:r>
          </w:p>
        </w:tc>
      </w:tr>
    </w:tbl>
    <w:p>
      <w:pPr>
        <w:pStyle w:val="Heading3"/>
      </w:pPr>
      <w:r>
        <w:t>任务 9实际执行与验收结果（2026-08-20）</w:t>
      </w:r>
    </w:p>
    <w:p>
      <w:r>
        <w:t>执行状态：STOP_STRUCTURE_BRANCH_AND_PIVOT_QA。任务6已冻结为FAIL_NO_DEV_STRATEGY，任务7和任务8按门槛跳过；任务9已完成结构分支负结果冻结和问答端错误案例导出。</w:t>
      </w:r>
    </w:p>
    <w:p>
      <w:pPr>
        <w:pStyle w:val="ListBullet"/>
      </w:pPr>
      <w:r>
        <w:t>实现脚本：src/evaluation/finalize_structure_branch_and_plan_qa.py。脚本先验证formal_test_authorized=false且不存在frozen_config.json，再读取Day9/Day10冻结产物，不启动训练或新test。</w:t>
      </w:r>
    </w:p>
    <w:p>
      <w:pPr>
        <w:pStyle w:val="ListBullet"/>
      </w:pPr>
      <w:r>
        <w:t>停止决定：不再继续扩大当前结构联邦训练预算，不再试探学习率、训练轮数、候选队列大小、损失权重或聚合策略。</w:t>
      </w:r>
    </w:p>
    <w:p>
      <w:pPr>
        <w:pStyle w:val="ListBullet"/>
      </w:pPr>
      <w:r>
        <w:t>输出：outputs/diagnosis/stop_structure_branch_report.md、negative_result_summary.csv、outputs/qa_next/qa_numeric_error_cases.xlsx、next_stage_qa_plan.md和task9_sha256_manifest.json。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方法</w:t>
            </w:r>
          </w:p>
        </w:tc>
        <w:tc>
          <w:tcPr>
            <w:tcW w:type="dxa" w:w="1994"/>
          </w:tcPr>
          <w:p>
            <w:r>
              <w:t>Seed 42 weighted NDCG</w:t>
            </w:r>
          </w:p>
        </w:tc>
        <w:tc>
          <w:tcPr>
            <w:tcW w:type="dxa" w:w="1994"/>
          </w:tcPr>
          <w:p>
            <w:r>
              <w:t>三seed均值</w:t>
            </w:r>
          </w:p>
        </w:tc>
        <w:tc>
          <w:tcPr>
            <w:tcW w:type="dxa" w:w="1994"/>
          </w:tcPr>
          <w:p>
            <w:r>
              <w:t>三seed标准差</w:t>
            </w:r>
          </w:p>
        </w:tc>
        <w:tc>
          <w:tcPr>
            <w:tcW w:type="dxa" w:w="1994"/>
          </w:tcPr>
          <w:p>
            <w:r>
              <w:t>QA-100数值EM</w:t>
            </w:r>
          </w:p>
        </w:tc>
      </w:tr>
      <w:tr>
        <w:tc>
          <w:tcPr>
            <w:tcW w:type="dxa" w:w="1994"/>
          </w:tcPr>
          <w:p>
            <w:r>
              <w:t>FedE4RAG-Flat</w:t>
            </w:r>
          </w:p>
        </w:tc>
        <w:tc>
          <w:tcPr>
            <w:tcW w:type="dxa" w:w="1994"/>
          </w:tcPr>
          <w:p>
            <w:r>
              <w:t>0.256154</w:t>
            </w:r>
          </w:p>
        </w:tc>
        <w:tc>
          <w:tcPr>
            <w:tcW w:type="dxa" w:w="1994"/>
          </w:tcPr>
          <w:p>
            <w:r>
              <w:t>0.253853</w:t>
            </w:r>
          </w:p>
        </w:tc>
        <w:tc>
          <w:tcPr>
            <w:tcW w:type="dxa" w:w="1994"/>
          </w:tcPr>
          <w:p>
            <w:r>
              <w:t>0.002729</w:t>
            </w:r>
          </w:p>
        </w:tc>
        <w:tc>
          <w:tcPr>
            <w:tcW w:type="dxa" w:w="1994"/>
          </w:tcPr>
          <w:p>
            <w:r>
              <w:t>0.07</w:t>
            </w:r>
          </w:p>
        </w:tc>
      </w:tr>
      <w:tr>
        <w:tc>
          <w:tcPr>
            <w:tcW w:type="dxa" w:w="1994"/>
          </w:tcPr>
          <w:p>
            <w:r>
              <w:t>FedE4RAG-UniTable</w:t>
            </w:r>
          </w:p>
        </w:tc>
        <w:tc>
          <w:tcPr>
            <w:tcW w:type="dxa" w:w="1994"/>
          </w:tcPr>
          <w:p>
            <w:r>
              <w:t>0.229914</w:t>
            </w:r>
          </w:p>
        </w:tc>
        <w:tc>
          <w:tcPr>
            <w:tcW w:type="dxa" w:w="1994"/>
          </w:tcPr>
          <w:p>
            <w:r>
              <w:t>0.228222</w:t>
            </w:r>
          </w:p>
        </w:tc>
        <w:tc>
          <w:tcPr>
            <w:tcW w:type="dxa" w:w="1994"/>
          </w:tcPr>
          <w:p>
            <w:r>
              <w:t>0.002067</w:t>
            </w:r>
          </w:p>
        </w:tc>
        <w:tc>
          <w:tcPr>
            <w:tcW w:type="dxa" w:w="1994"/>
          </w:tcPr>
          <w:p>
            <w:r>
              <w:t>0.07</w:t>
            </w:r>
          </w:p>
        </w:tc>
      </w:tr>
      <w:tr>
        <w:tc>
          <w:tcPr>
            <w:tcW w:type="dxa" w:w="1994"/>
          </w:tcPr>
          <w:p>
            <w:r>
              <w:t>FedTabRAG-Full(R+U)</w:t>
            </w:r>
          </w:p>
        </w:tc>
        <w:tc>
          <w:tcPr>
            <w:tcW w:type="dxa" w:w="1994"/>
          </w:tcPr>
          <w:p>
            <w:r>
              <w:t>0.226521</w:t>
            </w:r>
          </w:p>
        </w:tc>
        <w:tc>
          <w:tcPr>
            <w:tcW w:type="dxa" w:w="1994"/>
          </w:tcPr>
          <w:p>
            <w:r>
              <w:t>0.226747</w:t>
            </w:r>
          </w:p>
        </w:tc>
        <w:tc>
          <w:tcPr>
            <w:tcW w:type="dxa" w:w="1994"/>
          </w:tcPr>
          <w:p>
            <w:r>
              <w:t>0.000191</w:t>
            </w:r>
          </w:p>
        </w:tc>
        <w:tc>
          <w:tcPr>
            <w:tcW w:type="dxa" w:w="1994"/>
          </w:tcPr>
          <w:p>
            <w:r>
              <w:t>0.05</w:t>
            </w:r>
          </w:p>
        </w:tc>
      </w:tr>
    </w:tbl>
    <w:p>
      <w:r>
        <w:t>结构证据汇总：UniTable S-TEDS=0.922466、Valid HTML=1.000000、cell-count exact=0.977332，但没有超过Flat。5/10/20/30%结构扰动下weighted NDCG绝对下降分别为0.002179、0.003841、0.004595、0.008947，说明结构信号被使用，但当前有效性不足。</w:t>
      </w:r>
    </w:p>
    <w:p>
      <w:r>
        <w:t>任务4门控没有提升canonical Flat；任务5融合受冻结Top-10 union及跨分支表示ID口径限制；任务6统一审查none、gating、fusion、gating_plus_fusion的通过数为0。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QA错误案例</w:t>
            </w:r>
          </w:p>
        </w:tc>
        <w:tc>
          <w:tcPr>
            <w:tcW w:type="dxa" w:w="3324"/>
          </w:tcPr>
          <w:p>
            <w:r>
              <w:t>数量</w:t>
            </w:r>
          </w:p>
        </w:tc>
        <w:tc>
          <w:tcPr>
            <w:tcW w:type="dxa" w:w="3324"/>
          </w:tcPr>
          <w:p>
            <w:r>
              <w:t>用途</w:t>
            </w:r>
          </w:p>
        </w:tc>
      </w:tr>
      <w:tr>
        <w:tc>
          <w:tcPr>
            <w:tcW w:type="dxa" w:w="3324"/>
          </w:tcPr>
          <w:p>
            <w:r>
              <w:t>方法×query案例</w:t>
            </w:r>
          </w:p>
        </w:tc>
        <w:tc>
          <w:tcPr>
            <w:tcW w:type="dxa" w:w="3324"/>
          </w:tcPr>
          <w:p>
            <w:r>
              <w:t>468</w:t>
            </w:r>
          </w:p>
        </w:tc>
        <w:tc>
          <w:tcPr>
            <w:tcW w:type="dxa" w:w="3324"/>
          </w:tcPr>
          <w:p>
            <w:r>
              <w:t>gold Top-5命中且numerical EM=false</w:t>
            </w:r>
          </w:p>
        </w:tc>
      </w:tr>
      <w:tr>
        <w:tc>
          <w:tcPr>
            <w:tcW w:type="dxa" w:w="3324"/>
          </w:tcPr>
          <w:p>
            <w:r>
              <w:t>唯一query</w:t>
            </w:r>
          </w:p>
        </w:tc>
        <w:tc>
          <w:tcPr>
            <w:tcW w:type="dxa" w:w="3324"/>
          </w:tcPr>
          <w:p>
            <w:r>
              <w:t>72</w:t>
            </w:r>
          </w:p>
        </w:tc>
        <w:tc>
          <w:tcPr>
            <w:tcW w:type="dxa" w:w="3324"/>
          </w:tcPr>
          <w:p>
            <w:r>
              <w:t>跨方法归并后的问题覆盖</w:t>
            </w:r>
          </w:p>
        </w:tc>
      </w:tr>
      <w:tr>
        <w:tc>
          <w:tcPr>
            <w:tcW w:type="dxa" w:w="3324"/>
          </w:tcPr>
          <w:p>
            <w:r>
              <w:t>Flat优先案例</w:t>
            </w:r>
          </w:p>
        </w:tc>
        <w:tc>
          <w:tcPr>
            <w:tcW w:type="dxa" w:w="3324"/>
          </w:tcPr>
          <w:p>
            <w:r>
              <w:t>47</w:t>
            </w:r>
          </w:p>
        </w:tc>
        <w:tc>
          <w:tcPr>
            <w:tcW w:type="dxa" w:w="3324"/>
          </w:tcPr>
          <w:p>
            <w:r>
              <w:t>下一步人工审核首批</w:t>
            </w:r>
          </w:p>
        </w:tc>
      </w:tr>
      <w:tr>
        <w:tc>
          <w:tcPr>
            <w:tcW w:type="dxa" w:w="3324"/>
          </w:tcPr>
          <w:p>
            <w:r>
              <w:t>格式匹配失败</w:t>
            </w:r>
          </w:p>
        </w:tc>
        <w:tc>
          <w:tcPr>
            <w:tcW w:type="dxa" w:w="3324"/>
          </w:tcPr>
          <w:p>
            <w:r>
              <w:t>179</w:t>
            </w:r>
          </w:p>
        </w:tc>
        <w:tc>
          <w:tcPr>
            <w:tcW w:type="dxa" w:w="3324"/>
          </w:tcPr>
          <w:p>
            <w:r>
              <w:t>答案格式与数值解析</w:t>
            </w:r>
          </w:p>
        </w:tc>
      </w:tr>
      <w:tr>
        <w:tc>
          <w:tcPr>
            <w:tcW w:type="dxa" w:w="3324"/>
          </w:tcPr>
          <w:p>
            <w:r>
              <w:t>数字提取失败</w:t>
            </w:r>
          </w:p>
        </w:tc>
        <w:tc>
          <w:tcPr>
            <w:tcW w:type="dxa" w:w="3324"/>
          </w:tcPr>
          <w:p>
            <w:r>
              <w:t>26</w:t>
            </w:r>
          </w:p>
        </w:tc>
        <w:tc>
          <w:tcPr>
            <w:tcW w:type="dxa" w:w="3324"/>
          </w:tcPr>
          <w:p>
            <w:r>
              <w:t>操作数抽取</w:t>
            </w:r>
          </w:p>
        </w:tc>
      </w:tr>
      <w:tr>
        <w:tc>
          <w:tcPr>
            <w:tcW w:type="dxa" w:w="3324"/>
          </w:tcPr>
          <w:p>
            <w:r>
              <w:t>运算失败</w:t>
            </w:r>
          </w:p>
        </w:tc>
        <w:tc>
          <w:tcPr>
            <w:tcW w:type="dxa" w:w="3324"/>
          </w:tcPr>
          <w:p>
            <w:r>
              <w:t>140</w:t>
            </w:r>
          </w:p>
        </w:tc>
        <w:tc>
          <w:tcPr>
            <w:tcW w:type="dxa" w:w="3324"/>
          </w:tcPr>
          <w:p>
            <w:r>
              <w:t>数值推理/program generation</w:t>
            </w:r>
          </w:p>
        </w:tc>
      </w:tr>
      <w:tr>
        <w:tc>
          <w:tcPr>
            <w:tcW w:type="dxa" w:w="3324"/>
          </w:tcPr>
          <w:p>
            <w:r>
              <w:t>结构定位失败</w:t>
            </w:r>
          </w:p>
        </w:tc>
        <w:tc>
          <w:tcPr>
            <w:tcW w:type="dxa" w:w="3324"/>
          </w:tcPr>
          <w:p>
            <w:r>
              <w:t>123</w:t>
            </w:r>
          </w:p>
        </w:tc>
        <w:tc>
          <w:tcPr>
            <w:tcW w:type="dxa" w:w="3324"/>
          </w:tcPr>
          <w:p>
            <w:r>
              <w:t>Flat Top-k内证据重排序</w:t>
            </w:r>
          </w:p>
        </w:tc>
      </w:tr>
    </w:tbl>
    <w:p>
      <w:r>
        <w:t>Program边界：10种方法的program_predicted均为false，没有任何真实program输出；Program Accuracy和Execution Accuracy继续记为NA，不补写或推断数值。</w:t>
      </w:r>
    </w:p>
    <w:p>
      <w:r>
        <w:t>表述边界：结论仅适用于受控渲染FinQA、oracle cell text保持不变、冻结BGE及既定联邦预算，不得外推为真实PDF端到端表格理解普遍无效。</w:t>
      </w:r>
    </w:p>
    <w:p>
      <w:pPr>
        <w:pStyle w:val="Heading3"/>
      </w:pPr>
      <w:r>
        <w:t>任务9最终验收：</w:t>
      </w:r>
    </w:p>
    <w:p>
      <w:r>
        <w:t>☑ 已明确冻结并停止扩大当前结构联邦分支预算。</w:t>
      </w:r>
    </w:p>
    <w:p>
      <w:r>
        <w:t>☑ 已生成结构负结果报告和negative_result_summary.csv。</w:t>
      </w:r>
    </w:p>
    <w:p>
      <w:r>
        <w:t>☑ Excel包含468个gold-hit但答案错误的方法×query案例，覆盖72个query。</w:t>
      </w:r>
    </w:p>
    <w:p>
      <w:r>
        <w:t>☑ Flat优先47条已置于Excel前部；program/execution字段全部为NA。</w:t>
      </w:r>
    </w:p>
    <w:p>
      <w:r>
        <w:t>☑ XLSX压缩结构、输入/输出SHA256和案例筛选复算一致；完整项目测试36 passed、2 warnings。</w:t>
      </w:r>
    </w:p>
    <w:p>
      <w:r>
        <w:t>下一阶段：先人工审核47条Flat优先案例；随后只在FinQA dev上开发证据重排序、数值操作数抽取和显式program generation，冻结配置后test只运行一次。固定QA-100不得用于重新调参。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sz w:val="32"/>
        </w:rPr>
        <w:t>四、阶段结束后的决策输出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本阶段完成后，应形成两个互斥结论之一。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shd w:fill="1F4E79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结论类型</w:t>
            </w:r>
          </w:p>
        </w:tc>
        <w:tc>
          <w:tcPr>
            <w:tcW w:type="dxa" w:w="3324"/>
            <w:vAlign w:val="top"/>
            <w:shd w:fill="1F4E79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判定条件</w:t>
            </w:r>
          </w:p>
        </w:tc>
        <w:tc>
          <w:tcPr>
            <w:tcW w:type="dxa" w:w="3324"/>
            <w:vAlign w:val="top"/>
            <w:shd w:fill="1F4E79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3324"/>
            <w:vAlign w:val="top"/>
            <w:shd w:fill="F7FBFF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结构门控/融合有效</w:t>
            </w:r>
          </w:p>
        </w:tc>
        <w:tc>
          <w:tcPr>
            <w:tcW w:type="dxa" w:w="3324"/>
            <w:vAlign w:val="top"/>
            <w:shd w:fill="F7FBFF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dev 达到预注册门槛，冻结 test 超过 Flat，且收益不是单桶偶然现象</w:t>
            </w:r>
          </w:p>
        </w:tc>
        <w:tc>
          <w:tcPr>
            <w:tcW w:type="dxa" w:w="3324"/>
            <w:vAlign w:val="top"/>
            <w:shd w:fill="F7FBFF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进入任务 8 的最小联邦验证，仅验证冻结策略是否在联邦训练后仍有效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结构门控/融合无效</w:t>
            </w:r>
          </w:p>
        </w:tc>
        <w:tc>
          <w:tcPr>
            <w:tcW w:type="dxa" w:w="332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dev 未达门槛，或正式 test 仍低于 Flat，或最小联邦验证不能保持收益</w:t>
            </w:r>
          </w:p>
        </w:tc>
        <w:tc>
          <w:tcPr>
            <w:tcW w:type="dxa" w:w="3324"/>
            <w:vAlign w:val="top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停止结构联邦分支，将当前结果作为可复现负结果，转向问答端数值推理或证据重排序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sz w:val="32"/>
        </w:rPr>
        <w:t>五、推荐目录结构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outputs/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├── diagnosis/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│   ├── pairwise_flat_unitable_dev.csv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│   ├── pairwise_flat_unitable_test.csv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│   ├── buckets/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│   ├── manual_cases_*.xlsx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│   ├── gating/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│   ├── fusion/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│   ├── frozen_selection/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│   └── formal_test/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├── federated_minimal/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└── qa_next/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sz w:val="32"/>
        </w:rPr>
        <w:t>六、每日记录模板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# 下一阶段实验记录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日期/服务器：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任务编号：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目标：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输入文件与 SHA256：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执行命令：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配置文件：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开始/结束时间：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是否使用 test：是/否；若是，是否为冻结后一次正式 test：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主要结果：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失败与修复：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是否通过验收：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  <w:t>下一步：</w:t>
            </w:r>
            <w:r>
              <w:rPr>
                <w:rFonts w:ascii="Noto Sans CJK SC" w:hAnsi="Noto Sans CJK SC" w:eastAsia="Noto Sans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6"/>
      </w:rPr>
      <w:t>FedTabRAG 下一阶段实验安排｜dev 选参，test 一次，严格冻结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