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are the benefits of Outsourcing Furniture Manufacturing to Luxury Woods, Pakistan?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Cost-Effectiveness: Pakistan's low labor costs and low high-quality materials costs make it an attractive outsourcing destination for furniture manufacturing. This combination of cost minimization can ultimately lead to profit maximization for businesses compared to manufacturing in developed countries.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Skilled Craftsmanship: Pakistan has a rich tradition of craftsmanship and woodworking skills, with a long history of producing high-quality furniture. Pakistan's skilled artisans produce high-quality furniture using techniques like hand carving, inlay work, and intricate detailing for customized pieces.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Diverse Range of Materials: Pakistan being home to various types of natural resources has diverse wood species, including Sheesham, Teak, Walnut, and Mango which enable unique and aesthetically pleasing furniture designs according to the needs of our clients.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Quality Control: Furniture manufacturers in Pakistan adhere to international quality standards and have implemented quality control processes. They focus on ensuring that each piece of furniture meets the desired standards of durability, functionality, and aesthetics.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Customization Options: Pakistani furniture manufacturers are known for their ability to create customized furniture according to specific requirements. Whether it's a unique design, dimensions, or special finishes, they can accommodate the needs of businesses and provide tailored solutions.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Scalability: Pakistan has a large and growing furniture manufacturing industry, which means that it has the capacity to handle large-scale production orders. If a business requires a bulk order, Pakistani manufacturers can accommodate the needs and scale up production accordingly.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Timely Delivery: Pakistan has well-established shipping and logistics infrastructure, ensuring efficient transportation of furniture to various parts of the world. Manufacturers can leverage this infrastructure to deliver products on time and maintain reliable supply chains.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Design Capabilities: Pakistani furniture manufacturers have the capability to produce a wide range of furniture styles, from traditional to contemporary and modern designs. They can offer innovative and visually appealing designs that cater to the preferences of global markets.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Access to a global market: By outsourcing furniture manufacturing from Pakistan, businesses gain access to a global market. They can leverage the competitive advantages of Pakistani craftsmanship, cost-effectiveness, and high-quality materials to export furniture to various countries, expanding their customer base and potential sales.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