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Artículo 27. Salario mínimo interprofesional.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El Gobierno fijará, previa consulta con las organizaciones sindicales y asociaciones empresariales más representativas, anualmente, el salario mínimo interprofesional, teniendo en cuenta: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a) El índice de precios de consumo.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b) La productividad media nacional alcanzada.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c) El incremento de la participación del trabajo en la renta nacional.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d) La coyuntura económica general. Igualmente se fijará una revisión semestral para el caso de que no se cumplan las previsiones sobre el índice de precios citado.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revisión del salario mínimo interprofesional no afectará a la estructura ni a la cuantía de los salarios profesionales cuando estos, en su conjunto y cómputo anual, fueran superiores a aquel.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El salario mínimo interprofesional, en su cuantía, tanto anual como mensual, es inembargable. A efectos de determinar lo anterior se tendrán en cuenta tanto el periodo de devengo como la forma de cómputo, se incluya o no el prorrateo de las pagas extraordinarias, garantizándose la inembargabilidad de la cuantía que resulte en cada caso. En particular, si junto con el salario mensual se percibiese una gratificación o paga extraordinaria, el límite de inembargabilidad estará constituido por el doble del importe del salario mínimo interprofesional mensual y en el caso de que en el salario mensual percibido estuviera incluida la parte proporcional de las pagas o gratificaciones extraordinarias, el límite de inembargabilidad estará constituido por el importe del salario mínimo interprofesional en cómputo anual prorrateado entre doce meses.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