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CACF" w14:textId="117CC2E4" w:rsidR="007730B0" w:rsidRPr="007730B0" w:rsidRDefault="003326BF" w:rsidP="007730B0">
      <w:pPr>
        <w:rPr>
          <w:i/>
          <w:iCs/>
        </w:rPr>
      </w:pPr>
      <w:r>
        <w:rPr>
          <w:i/>
          <w:iCs/>
        </w:rPr>
        <w:t>(after hierarchy)</w:t>
      </w:r>
      <w:r>
        <w:rPr>
          <w:i/>
          <w:iCs/>
        </w:rPr>
        <w:br/>
      </w:r>
      <w:r>
        <w:rPr>
          <w:i/>
          <w:iCs/>
        </w:rPr>
        <w:br/>
      </w:r>
      <w:r w:rsidR="007730B0" w:rsidRPr="007730B0">
        <w:rPr>
          <w:i/>
          <w:iCs/>
        </w:rPr>
        <w:t xml:space="preserve">The pie chart illustrates the prioritisation of project requirements for the Kimberley Intermodal Freight Terminal using the </w:t>
      </w:r>
      <w:proofErr w:type="spellStart"/>
      <w:r w:rsidR="007730B0" w:rsidRPr="007730B0">
        <w:rPr>
          <w:i/>
          <w:iCs/>
        </w:rPr>
        <w:t>MoSCoW</w:t>
      </w:r>
      <w:proofErr w:type="spellEnd"/>
      <w:r w:rsidR="007730B0" w:rsidRPr="007730B0">
        <w:rPr>
          <w:i/>
          <w:iCs/>
        </w:rPr>
        <w:t xml:space="preserve"> framework. The largest proportion is allocated to “Must Have” requirements, indicating that core technical infrastructure, funding mechanisms, and regulatory approvals are critical for project viability. “Should Have” and “Could Have” elements represent important but non-essential enhancements that improve operational efficiency without determining feasibility. The limited allocation to “Won’t Have (Phase 1)” reflects a phased implementation strategy, consistent with best-practice infrastructure planning where critical functionality precedes advanced optimisation (Project Management Institute, 2021).</w:t>
      </w:r>
    </w:p>
    <w:p w14:paraId="42373A85" w14:textId="77777777" w:rsidR="007730B0" w:rsidRPr="007730B0" w:rsidRDefault="007730B0" w:rsidP="007730B0">
      <w:pPr>
        <w:rPr>
          <w:i/>
          <w:iCs/>
        </w:rPr>
      </w:pPr>
      <w:r w:rsidRPr="007730B0">
        <w:rPr>
          <w:i/>
          <w:iCs/>
        </w:rPr>
        <w:pict w14:anchorId="19A469E2">
          <v:rect id="_x0000_i1040" style="width:0;height:1.5pt" o:hralign="center" o:hrstd="t" o:hr="t" fillcolor="#a0a0a0" stroked="f"/>
        </w:pict>
      </w:r>
    </w:p>
    <w:p w14:paraId="5BCCD98E" w14:textId="77777777" w:rsidR="007730B0" w:rsidRPr="007730B0" w:rsidRDefault="007730B0" w:rsidP="007730B0">
      <w:pPr>
        <w:rPr>
          <w:b/>
          <w:bCs/>
          <w:i/>
          <w:iCs/>
        </w:rPr>
      </w:pPr>
      <w:r w:rsidRPr="007730B0">
        <w:rPr>
          <w:b/>
          <w:bCs/>
          <w:i/>
          <w:iCs/>
        </w:rPr>
        <w:t>Harvard Reference</w:t>
      </w:r>
    </w:p>
    <w:p w14:paraId="5CC3033C" w14:textId="77777777" w:rsidR="007730B0" w:rsidRPr="007730B0" w:rsidRDefault="007730B0" w:rsidP="007730B0">
      <w:pPr>
        <w:rPr>
          <w:i/>
          <w:iCs/>
        </w:rPr>
      </w:pPr>
      <w:r w:rsidRPr="007730B0">
        <w:rPr>
          <w:i/>
          <w:iCs/>
        </w:rPr>
        <w:t xml:space="preserve">Project Management Institute (2021) A guide to the project management body of knowledge (PMBOK® Guide). 7th </w:t>
      </w:r>
      <w:proofErr w:type="spellStart"/>
      <w:r w:rsidRPr="007730B0">
        <w:rPr>
          <w:i/>
          <w:iCs/>
        </w:rPr>
        <w:t>edn</w:t>
      </w:r>
      <w:proofErr w:type="spellEnd"/>
      <w:r w:rsidRPr="007730B0">
        <w:rPr>
          <w:i/>
          <w:iCs/>
        </w:rPr>
        <w:t>. Newtown Square, PA: Project Management Institute.</w:t>
      </w:r>
    </w:p>
    <w:p w14:paraId="02366BEF" w14:textId="77777777" w:rsidR="007730B0" w:rsidRDefault="007730B0">
      <w:pPr>
        <w:rPr>
          <w:i/>
          <w:iCs/>
        </w:rPr>
      </w:pPr>
    </w:p>
    <w:p w14:paraId="6CA202CF" w14:textId="77777777" w:rsidR="007730B0" w:rsidRDefault="007730B0">
      <w:pPr>
        <w:rPr>
          <w:i/>
          <w:iCs/>
        </w:rPr>
      </w:pPr>
    </w:p>
    <w:p w14:paraId="04DC3E7E" w14:textId="7CD759EE" w:rsidR="00DB2FB6" w:rsidRDefault="00DB2FB6">
      <w:pPr>
        <w:rPr>
          <w:i/>
          <w:iCs/>
        </w:rPr>
      </w:pPr>
      <w:r w:rsidRPr="00DB2FB6">
        <w:rPr>
          <w:i/>
          <w:iCs/>
        </w:rPr>
        <w:t xml:space="preserve">White paper outlines </w:t>
      </w:r>
      <w:r w:rsidRPr="00DB2FB6">
        <w:rPr>
          <w:i/>
          <w:iCs/>
        </w:rPr>
        <w:t>plan</w:t>
      </w:r>
      <w:r w:rsidRPr="00DB2FB6">
        <w:rPr>
          <w:i/>
          <w:iCs/>
        </w:rPr>
        <w:t xml:space="preserve"> for the development of the Port of Gauteng to provide a corridor to the Port of Durban due to growing volumes of container freight.</w:t>
      </w:r>
    </w:p>
    <w:p w14:paraId="30F6B6C4" w14:textId="70A85545" w:rsidR="00D24298" w:rsidRDefault="00DB2FB6">
      <w:r>
        <w:t xml:space="preserve">White Paper(2025) </w:t>
      </w:r>
    </w:p>
    <w:p w14:paraId="017B3C2A" w14:textId="56DD992A" w:rsidR="00165464" w:rsidRDefault="00165464">
      <w:r w:rsidRPr="00165464">
        <w:t xml:space="preserve">Transnet (2024) </w:t>
      </w:r>
      <w:r w:rsidRPr="00165464">
        <w:rPr>
          <w:i/>
          <w:iCs/>
        </w:rPr>
        <w:t>Rail freight operations in South Africa</w:t>
      </w:r>
      <w:r w:rsidRPr="00165464">
        <w:t>. Available at: URL (Accessed: 19 February 2026).</w:t>
      </w:r>
    </w:p>
    <w:p w14:paraId="00CB7700" w14:textId="50A7C145" w:rsidR="00185C9F" w:rsidRDefault="00066046">
      <w:hyperlink r:id="rId4" w:history="1">
        <w:r w:rsidRPr="00196F4C">
          <w:rPr>
            <w:rStyle w:val="Hyperlink"/>
          </w:rPr>
          <w:t>https://x.com/i/status/2011345501531357508</w:t>
        </w:r>
      </w:hyperlink>
    </w:p>
    <w:p w14:paraId="78453D06" w14:textId="5B420FB2" w:rsidR="00066046" w:rsidRDefault="00066046"/>
    <w:p w14:paraId="60CD43FC" w14:textId="77777777" w:rsidR="00066046" w:rsidRPr="00066046" w:rsidRDefault="00066046" w:rsidP="00066046">
      <w:pPr>
        <w:rPr>
          <w:b/>
          <w:bCs/>
        </w:rPr>
      </w:pPr>
      <w:r w:rsidRPr="00066046">
        <w:rPr>
          <w:rFonts w:ascii="Segoe UI Emoji" w:hAnsi="Segoe UI Emoji" w:cs="Segoe UI Emoji"/>
          <w:b/>
          <w:bCs/>
        </w:rPr>
        <w:t>🔷</w:t>
      </w:r>
      <w:r w:rsidRPr="00066046">
        <w:rPr>
          <w:b/>
          <w:bCs/>
        </w:rPr>
        <w:t xml:space="preserve"> Summarised Constraint Table (Concise Justification + Mitigation)</w:t>
      </w:r>
    </w:p>
    <w:tbl>
      <w:tblPr>
        <w:tblStyle w:val="GridTable5Dark-Accent4"/>
        <w:tblW w:w="9016" w:type="dxa"/>
        <w:tblLook w:val="04A0" w:firstRow="1" w:lastRow="0" w:firstColumn="1" w:lastColumn="0" w:noHBand="0" w:noVBand="1"/>
      </w:tblPr>
      <w:tblGrid>
        <w:gridCol w:w="1364"/>
        <w:gridCol w:w="1585"/>
        <w:gridCol w:w="1106"/>
        <w:gridCol w:w="1639"/>
        <w:gridCol w:w="1832"/>
        <w:gridCol w:w="1490"/>
      </w:tblGrid>
      <w:tr w:rsidR="00066046" w:rsidRPr="00066046" w14:paraId="56B7763F" w14:textId="77777777" w:rsidTr="0070741A">
        <w:trPr>
          <w:cnfStyle w:val="100000000000" w:firstRow="1" w:lastRow="0" w:firstColumn="0" w:lastColumn="0" w:oddVBand="0" w:evenVBand="0" w:oddHBand="0"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0" w:type="auto"/>
            <w:hideMark/>
          </w:tcPr>
          <w:p w14:paraId="3DB60432" w14:textId="77777777" w:rsidR="00066046" w:rsidRPr="00066046" w:rsidRDefault="00066046" w:rsidP="00066046">
            <w:pPr>
              <w:spacing w:after="160" w:line="259" w:lineRule="auto"/>
            </w:pPr>
            <w:r w:rsidRPr="00066046">
              <w:t>Constraint</w:t>
            </w:r>
          </w:p>
        </w:tc>
        <w:tc>
          <w:tcPr>
            <w:tcW w:w="0" w:type="auto"/>
            <w:hideMark/>
          </w:tcPr>
          <w:p w14:paraId="0ACBD05A" w14:textId="77777777" w:rsidR="00066046" w:rsidRPr="00066046" w:rsidRDefault="00066046" w:rsidP="00066046">
            <w:pPr>
              <w:spacing w:after="160" w:line="259" w:lineRule="auto"/>
              <w:cnfStyle w:val="100000000000" w:firstRow="1" w:lastRow="0" w:firstColumn="0" w:lastColumn="0" w:oddVBand="0" w:evenVBand="0" w:oddHBand="0" w:evenHBand="0" w:firstRowFirstColumn="0" w:firstRowLastColumn="0" w:lastRowFirstColumn="0" w:lastRowLastColumn="0"/>
            </w:pPr>
            <w:r w:rsidRPr="00066046">
              <w:t>Classification</w:t>
            </w:r>
          </w:p>
        </w:tc>
        <w:tc>
          <w:tcPr>
            <w:tcW w:w="0" w:type="auto"/>
            <w:hideMark/>
          </w:tcPr>
          <w:p w14:paraId="4804CC89" w14:textId="77777777" w:rsidR="00066046" w:rsidRPr="00066046" w:rsidRDefault="00066046" w:rsidP="00066046">
            <w:pPr>
              <w:spacing w:after="160" w:line="259" w:lineRule="auto"/>
              <w:cnfStyle w:val="100000000000" w:firstRow="1" w:lastRow="0" w:firstColumn="0" w:lastColumn="0" w:oddVBand="0" w:evenVBand="0" w:oddHBand="0" w:evenHBand="0" w:firstRowFirstColumn="0" w:firstRowLastColumn="0" w:lastRowFirstColumn="0" w:lastRowLastColumn="0"/>
            </w:pPr>
            <w:r w:rsidRPr="00066046">
              <w:t>Severity</w:t>
            </w:r>
          </w:p>
        </w:tc>
        <w:tc>
          <w:tcPr>
            <w:tcW w:w="0" w:type="auto"/>
            <w:hideMark/>
          </w:tcPr>
          <w:p w14:paraId="7B277450" w14:textId="77777777" w:rsidR="00066046" w:rsidRPr="00066046" w:rsidRDefault="00066046" w:rsidP="00066046">
            <w:pPr>
              <w:spacing w:after="160" w:line="259" w:lineRule="auto"/>
              <w:cnfStyle w:val="100000000000" w:firstRow="1" w:lastRow="0" w:firstColumn="0" w:lastColumn="0" w:oddVBand="0" w:evenVBand="0" w:oddHBand="0" w:evenHBand="0" w:firstRowFirstColumn="0" w:firstRowLastColumn="0" w:lastRowFirstColumn="0" w:lastRowLastColumn="0"/>
            </w:pPr>
            <w:r w:rsidRPr="00066046">
              <w:t>Controllability</w:t>
            </w:r>
          </w:p>
        </w:tc>
        <w:tc>
          <w:tcPr>
            <w:tcW w:w="0" w:type="auto"/>
            <w:hideMark/>
          </w:tcPr>
          <w:p w14:paraId="33A62B62" w14:textId="3E013098" w:rsidR="00066046" w:rsidRPr="00066046" w:rsidRDefault="00066046" w:rsidP="00066046">
            <w:pPr>
              <w:spacing w:after="160" w:line="259" w:lineRule="auto"/>
              <w:cnfStyle w:val="100000000000" w:firstRow="1" w:lastRow="0" w:firstColumn="0" w:lastColumn="0" w:oddVBand="0" w:evenVBand="0" w:oddHBand="0" w:evenHBand="0" w:firstRowFirstColumn="0" w:firstRowLastColumn="0" w:lastRowFirstColumn="0" w:lastRowLastColumn="0"/>
            </w:pPr>
            <w:r w:rsidRPr="00066046">
              <w:t xml:space="preserve">Analytical Justification </w:t>
            </w:r>
          </w:p>
        </w:tc>
        <w:tc>
          <w:tcPr>
            <w:tcW w:w="0" w:type="auto"/>
            <w:hideMark/>
          </w:tcPr>
          <w:p w14:paraId="08DB0E12" w14:textId="3AA29405" w:rsidR="00066046" w:rsidRPr="00066046" w:rsidRDefault="00066046" w:rsidP="00066046">
            <w:pPr>
              <w:spacing w:after="160" w:line="259" w:lineRule="auto"/>
              <w:cnfStyle w:val="100000000000" w:firstRow="1" w:lastRow="0" w:firstColumn="0" w:lastColumn="0" w:oddVBand="0" w:evenVBand="0" w:oddHBand="0" w:evenHBand="0" w:firstRowFirstColumn="0" w:firstRowLastColumn="0" w:lastRowFirstColumn="0" w:lastRowLastColumn="0"/>
            </w:pPr>
            <w:r w:rsidRPr="00066046">
              <w:t xml:space="preserve">Mitigation Strategy </w:t>
            </w:r>
          </w:p>
        </w:tc>
      </w:tr>
      <w:tr w:rsidR="00066046" w:rsidRPr="00066046" w14:paraId="288B92A8" w14:textId="77777777" w:rsidTr="0070741A">
        <w:trPr>
          <w:cnfStyle w:val="000000100000" w:firstRow="0" w:lastRow="0" w:firstColumn="0" w:lastColumn="0" w:oddVBand="0" w:evenVBand="0" w:oddHBand="1" w:evenHBand="0" w:firstRowFirstColumn="0" w:firstRowLastColumn="0" w:lastRowFirstColumn="0" w:lastRowLastColumn="0"/>
          <w:trHeight w:val="1807"/>
        </w:trPr>
        <w:tc>
          <w:tcPr>
            <w:cnfStyle w:val="001000000000" w:firstRow="0" w:lastRow="0" w:firstColumn="1" w:lastColumn="0" w:oddVBand="0" w:evenVBand="0" w:oddHBand="0" w:evenHBand="0" w:firstRowFirstColumn="0" w:firstRowLastColumn="0" w:lastRowFirstColumn="0" w:lastRowLastColumn="0"/>
            <w:tcW w:w="0" w:type="auto"/>
            <w:hideMark/>
          </w:tcPr>
          <w:p w14:paraId="57402115" w14:textId="77777777" w:rsidR="00066046" w:rsidRPr="00066046" w:rsidRDefault="00066046" w:rsidP="00066046">
            <w:pPr>
              <w:spacing w:after="160" w:line="259" w:lineRule="auto"/>
            </w:pPr>
            <w:r w:rsidRPr="00066046">
              <w:t>High Capital Cost</w:t>
            </w:r>
          </w:p>
        </w:tc>
        <w:tc>
          <w:tcPr>
            <w:tcW w:w="0" w:type="auto"/>
            <w:hideMark/>
          </w:tcPr>
          <w:p w14:paraId="5242066F" w14:textId="77777777" w:rsidR="00066046" w:rsidRPr="00066046" w:rsidRDefault="00066046" w:rsidP="00066046">
            <w:pPr>
              <w:spacing w:after="160" w:line="259" w:lineRule="auto"/>
              <w:cnfStyle w:val="000000100000" w:firstRow="0" w:lastRow="0" w:firstColumn="0" w:lastColumn="0" w:oddVBand="0" w:evenVBand="0" w:oddHBand="1" w:evenHBand="0" w:firstRowFirstColumn="0" w:firstRowLastColumn="0" w:lastRowFirstColumn="0" w:lastRowLastColumn="0"/>
            </w:pPr>
            <w:r w:rsidRPr="00066046">
              <w:t>Cost</w:t>
            </w:r>
          </w:p>
        </w:tc>
        <w:tc>
          <w:tcPr>
            <w:tcW w:w="0" w:type="auto"/>
            <w:hideMark/>
          </w:tcPr>
          <w:p w14:paraId="49FDA811" w14:textId="77777777" w:rsidR="00066046" w:rsidRPr="00066046" w:rsidRDefault="00066046" w:rsidP="00066046">
            <w:pPr>
              <w:spacing w:after="160" w:line="259" w:lineRule="auto"/>
              <w:cnfStyle w:val="000000100000" w:firstRow="0" w:lastRow="0" w:firstColumn="0" w:lastColumn="0" w:oddVBand="0" w:evenVBand="0" w:oddHBand="1" w:evenHBand="0" w:firstRowFirstColumn="0" w:firstRowLastColumn="0" w:lastRowFirstColumn="0" w:lastRowLastColumn="0"/>
            </w:pPr>
            <w:r w:rsidRPr="00066046">
              <w:t>Critical</w:t>
            </w:r>
          </w:p>
        </w:tc>
        <w:tc>
          <w:tcPr>
            <w:tcW w:w="0" w:type="auto"/>
            <w:hideMark/>
          </w:tcPr>
          <w:p w14:paraId="2325628E" w14:textId="77777777" w:rsidR="00066046" w:rsidRPr="00066046" w:rsidRDefault="00066046" w:rsidP="00066046">
            <w:pPr>
              <w:spacing w:after="160" w:line="259" w:lineRule="auto"/>
              <w:cnfStyle w:val="000000100000" w:firstRow="0" w:lastRow="0" w:firstColumn="0" w:lastColumn="0" w:oddVBand="0" w:evenVBand="0" w:oddHBand="1" w:evenHBand="0" w:firstRowFirstColumn="0" w:firstRowLastColumn="0" w:lastRowFirstColumn="0" w:lastRowLastColumn="0"/>
            </w:pPr>
            <w:r w:rsidRPr="00066046">
              <w:t>Medium</w:t>
            </w:r>
          </w:p>
        </w:tc>
        <w:tc>
          <w:tcPr>
            <w:tcW w:w="0" w:type="auto"/>
            <w:hideMark/>
          </w:tcPr>
          <w:p w14:paraId="6C4294E9" w14:textId="77777777" w:rsidR="00066046" w:rsidRPr="00066046" w:rsidRDefault="00066046" w:rsidP="00066046">
            <w:pPr>
              <w:spacing w:after="160" w:line="259" w:lineRule="auto"/>
              <w:cnfStyle w:val="000000100000" w:firstRow="0" w:lastRow="0" w:firstColumn="0" w:lastColumn="0" w:oddVBand="0" w:evenVBand="0" w:oddHBand="1" w:evenHBand="0" w:firstRowFirstColumn="0" w:firstRowLastColumn="0" w:lastRowFirstColumn="0" w:lastRowLastColumn="0"/>
            </w:pPr>
            <w:r w:rsidRPr="00066046">
              <w:t>Large upfront investment increases financial exposure.</w:t>
            </w:r>
          </w:p>
        </w:tc>
        <w:tc>
          <w:tcPr>
            <w:tcW w:w="0" w:type="auto"/>
            <w:hideMark/>
          </w:tcPr>
          <w:p w14:paraId="515798BE" w14:textId="77777777" w:rsidR="00066046" w:rsidRPr="00066046" w:rsidRDefault="00066046" w:rsidP="00066046">
            <w:pPr>
              <w:spacing w:after="160" w:line="259" w:lineRule="auto"/>
              <w:cnfStyle w:val="000000100000" w:firstRow="0" w:lastRow="0" w:firstColumn="0" w:lastColumn="0" w:oddVBand="0" w:evenVBand="0" w:oddHBand="1" w:evenHBand="0" w:firstRowFirstColumn="0" w:firstRowLastColumn="0" w:lastRowFirstColumn="0" w:lastRowLastColumn="0"/>
            </w:pPr>
            <w:r w:rsidRPr="00066046">
              <w:t>Use phased development and PPP funding to distribute cost burden.</w:t>
            </w:r>
          </w:p>
        </w:tc>
      </w:tr>
      <w:tr w:rsidR="00066046" w:rsidRPr="00066046" w14:paraId="0F1B048A" w14:textId="77777777" w:rsidTr="0070741A">
        <w:trPr>
          <w:trHeight w:val="1807"/>
        </w:trPr>
        <w:tc>
          <w:tcPr>
            <w:cnfStyle w:val="001000000000" w:firstRow="0" w:lastRow="0" w:firstColumn="1" w:lastColumn="0" w:oddVBand="0" w:evenVBand="0" w:oddHBand="0" w:evenHBand="0" w:firstRowFirstColumn="0" w:firstRowLastColumn="0" w:lastRowFirstColumn="0" w:lastRowLastColumn="0"/>
            <w:tcW w:w="0" w:type="auto"/>
            <w:hideMark/>
          </w:tcPr>
          <w:p w14:paraId="0D860483" w14:textId="77777777" w:rsidR="00066046" w:rsidRPr="00066046" w:rsidRDefault="00066046" w:rsidP="00066046">
            <w:pPr>
              <w:spacing w:after="160" w:line="259" w:lineRule="auto"/>
            </w:pPr>
            <w:r w:rsidRPr="00066046">
              <w:t>Rail Reliability</w:t>
            </w:r>
          </w:p>
        </w:tc>
        <w:tc>
          <w:tcPr>
            <w:tcW w:w="0" w:type="auto"/>
            <w:hideMark/>
          </w:tcPr>
          <w:p w14:paraId="6967C205" w14:textId="77777777" w:rsidR="00066046" w:rsidRPr="00066046" w:rsidRDefault="00066046" w:rsidP="00066046">
            <w:pPr>
              <w:spacing w:after="160" w:line="259" w:lineRule="auto"/>
              <w:cnfStyle w:val="000000000000" w:firstRow="0" w:lastRow="0" w:firstColumn="0" w:lastColumn="0" w:oddVBand="0" w:evenVBand="0" w:oddHBand="0" w:evenHBand="0" w:firstRowFirstColumn="0" w:firstRowLastColumn="0" w:lastRowFirstColumn="0" w:lastRowLastColumn="0"/>
            </w:pPr>
            <w:r w:rsidRPr="00066046">
              <w:t>Risk</w:t>
            </w:r>
          </w:p>
        </w:tc>
        <w:tc>
          <w:tcPr>
            <w:tcW w:w="0" w:type="auto"/>
            <w:hideMark/>
          </w:tcPr>
          <w:p w14:paraId="4C8B2F01" w14:textId="77777777" w:rsidR="00066046" w:rsidRPr="00066046" w:rsidRDefault="00066046" w:rsidP="00066046">
            <w:pPr>
              <w:spacing w:after="160" w:line="259" w:lineRule="auto"/>
              <w:cnfStyle w:val="000000000000" w:firstRow="0" w:lastRow="0" w:firstColumn="0" w:lastColumn="0" w:oddVBand="0" w:evenVBand="0" w:oddHBand="0" w:evenHBand="0" w:firstRowFirstColumn="0" w:firstRowLastColumn="0" w:lastRowFirstColumn="0" w:lastRowLastColumn="0"/>
            </w:pPr>
            <w:r w:rsidRPr="00066046">
              <w:t>Major</w:t>
            </w:r>
          </w:p>
        </w:tc>
        <w:tc>
          <w:tcPr>
            <w:tcW w:w="0" w:type="auto"/>
            <w:hideMark/>
          </w:tcPr>
          <w:p w14:paraId="12971681" w14:textId="77777777" w:rsidR="00066046" w:rsidRPr="00066046" w:rsidRDefault="00066046" w:rsidP="00066046">
            <w:pPr>
              <w:spacing w:after="160" w:line="259" w:lineRule="auto"/>
              <w:cnfStyle w:val="000000000000" w:firstRow="0" w:lastRow="0" w:firstColumn="0" w:lastColumn="0" w:oddVBand="0" w:evenVBand="0" w:oddHBand="0" w:evenHBand="0" w:firstRowFirstColumn="0" w:firstRowLastColumn="0" w:lastRowFirstColumn="0" w:lastRowLastColumn="0"/>
            </w:pPr>
            <w:r w:rsidRPr="00066046">
              <w:t>Low</w:t>
            </w:r>
          </w:p>
        </w:tc>
        <w:tc>
          <w:tcPr>
            <w:tcW w:w="0" w:type="auto"/>
            <w:hideMark/>
          </w:tcPr>
          <w:p w14:paraId="4946FDDF" w14:textId="77777777" w:rsidR="00066046" w:rsidRPr="00066046" w:rsidRDefault="00066046" w:rsidP="00066046">
            <w:pPr>
              <w:spacing w:after="160" w:line="259" w:lineRule="auto"/>
              <w:cnfStyle w:val="000000000000" w:firstRow="0" w:lastRow="0" w:firstColumn="0" w:lastColumn="0" w:oddVBand="0" w:evenVBand="0" w:oddHBand="0" w:evenHBand="0" w:firstRowFirstColumn="0" w:firstRowLastColumn="0" w:lastRowFirstColumn="0" w:lastRowLastColumn="0"/>
            </w:pPr>
            <w:r w:rsidRPr="00066046">
              <w:t>Operational inefficiencies may limit effective modal shift.</w:t>
            </w:r>
          </w:p>
        </w:tc>
        <w:tc>
          <w:tcPr>
            <w:tcW w:w="0" w:type="auto"/>
            <w:hideMark/>
          </w:tcPr>
          <w:p w14:paraId="438637E4" w14:textId="77777777" w:rsidR="00066046" w:rsidRPr="00066046" w:rsidRDefault="00066046" w:rsidP="00066046">
            <w:pPr>
              <w:spacing w:after="160" w:line="259" w:lineRule="auto"/>
              <w:cnfStyle w:val="000000000000" w:firstRow="0" w:lastRow="0" w:firstColumn="0" w:lastColumn="0" w:oddVBand="0" w:evenVBand="0" w:oddHBand="0" w:evenHBand="0" w:firstRowFirstColumn="0" w:firstRowLastColumn="0" w:lastRowFirstColumn="0" w:lastRowLastColumn="0"/>
            </w:pPr>
            <w:r w:rsidRPr="00066046">
              <w:t>Implement performance agreements and corridor maintenance prioritisation.</w:t>
            </w:r>
          </w:p>
        </w:tc>
      </w:tr>
      <w:tr w:rsidR="00066046" w:rsidRPr="00066046" w14:paraId="3387D370" w14:textId="77777777" w:rsidTr="0070741A">
        <w:trPr>
          <w:cnfStyle w:val="000000100000" w:firstRow="0" w:lastRow="0" w:firstColumn="0" w:lastColumn="0" w:oddVBand="0" w:evenVBand="0" w:oddHBand="1" w:evenHBand="0" w:firstRowFirstColumn="0" w:firstRowLastColumn="0" w:lastRowFirstColumn="0" w:lastRowLastColumn="0"/>
          <w:trHeight w:val="2094"/>
        </w:trPr>
        <w:tc>
          <w:tcPr>
            <w:cnfStyle w:val="001000000000" w:firstRow="0" w:lastRow="0" w:firstColumn="1" w:lastColumn="0" w:oddVBand="0" w:evenVBand="0" w:oddHBand="0" w:evenHBand="0" w:firstRowFirstColumn="0" w:firstRowLastColumn="0" w:lastRowFirstColumn="0" w:lastRowLastColumn="0"/>
            <w:tcW w:w="0" w:type="auto"/>
            <w:hideMark/>
          </w:tcPr>
          <w:p w14:paraId="1A89EC64" w14:textId="77777777" w:rsidR="00066046" w:rsidRPr="00066046" w:rsidRDefault="00066046" w:rsidP="00066046">
            <w:pPr>
              <w:spacing w:after="160" w:line="259" w:lineRule="auto"/>
            </w:pPr>
            <w:r w:rsidRPr="00066046">
              <w:lastRenderedPageBreak/>
              <w:t>Regulatory Approvals</w:t>
            </w:r>
          </w:p>
        </w:tc>
        <w:tc>
          <w:tcPr>
            <w:tcW w:w="0" w:type="auto"/>
            <w:hideMark/>
          </w:tcPr>
          <w:p w14:paraId="383E6C08" w14:textId="77777777" w:rsidR="00066046" w:rsidRPr="00066046" w:rsidRDefault="00066046" w:rsidP="00066046">
            <w:pPr>
              <w:spacing w:after="160" w:line="259" w:lineRule="auto"/>
              <w:cnfStyle w:val="000000100000" w:firstRow="0" w:lastRow="0" w:firstColumn="0" w:lastColumn="0" w:oddVBand="0" w:evenVBand="0" w:oddHBand="1" w:evenHBand="0" w:firstRowFirstColumn="0" w:firstRowLastColumn="0" w:lastRowFirstColumn="0" w:lastRowLastColumn="0"/>
            </w:pPr>
            <w:r w:rsidRPr="00066046">
              <w:t>Time</w:t>
            </w:r>
          </w:p>
        </w:tc>
        <w:tc>
          <w:tcPr>
            <w:tcW w:w="0" w:type="auto"/>
            <w:hideMark/>
          </w:tcPr>
          <w:p w14:paraId="4DC32F1F" w14:textId="77777777" w:rsidR="00066046" w:rsidRPr="00066046" w:rsidRDefault="00066046" w:rsidP="00066046">
            <w:pPr>
              <w:spacing w:after="160" w:line="259" w:lineRule="auto"/>
              <w:cnfStyle w:val="000000100000" w:firstRow="0" w:lastRow="0" w:firstColumn="0" w:lastColumn="0" w:oddVBand="0" w:evenVBand="0" w:oddHBand="1" w:evenHBand="0" w:firstRowFirstColumn="0" w:firstRowLastColumn="0" w:lastRowFirstColumn="0" w:lastRowLastColumn="0"/>
            </w:pPr>
            <w:r w:rsidRPr="00066046">
              <w:t>Major</w:t>
            </w:r>
          </w:p>
        </w:tc>
        <w:tc>
          <w:tcPr>
            <w:tcW w:w="0" w:type="auto"/>
            <w:hideMark/>
          </w:tcPr>
          <w:p w14:paraId="53F3854A" w14:textId="77777777" w:rsidR="00066046" w:rsidRPr="00066046" w:rsidRDefault="00066046" w:rsidP="00066046">
            <w:pPr>
              <w:spacing w:after="160" w:line="259" w:lineRule="auto"/>
              <w:cnfStyle w:val="000000100000" w:firstRow="0" w:lastRow="0" w:firstColumn="0" w:lastColumn="0" w:oddVBand="0" w:evenVBand="0" w:oddHBand="1" w:evenHBand="0" w:firstRowFirstColumn="0" w:firstRowLastColumn="0" w:lastRowFirstColumn="0" w:lastRowLastColumn="0"/>
            </w:pPr>
            <w:r w:rsidRPr="00066046">
              <w:t>Medium</w:t>
            </w:r>
          </w:p>
        </w:tc>
        <w:tc>
          <w:tcPr>
            <w:tcW w:w="0" w:type="auto"/>
            <w:hideMark/>
          </w:tcPr>
          <w:p w14:paraId="404D373B" w14:textId="77777777" w:rsidR="00066046" w:rsidRPr="00066046" w:rsidRDefault="00066046" w:rsidP="00066046">
            <w:pPr>
              <w:spacing w:after="160" w:line="259" w:lineRule="auto"/>
              <w:cnfStyle w:val="000000100000" w:firstRow="0" w:lastRow="0" w:firstColumn="0" w:lastColumn="0" w:oddVBand="0" w:evenVBand="0" w:oddHBand="1" w:evenHBand="0" w:firstRowFirstColumn="0" w:firstRowLastColumn="0" w:lastRowFirstColumn="0" w:lastRowLastColumn="0"/>
            </w:pPr>
            <w:r w:rsidRPr="00066046">
              <w:t>Approval processes may delay project commencement.</w:t>
            </w:r>
          </w:p>
        </w:tc>
        <w:tc>
          <w:tcPr>
            <w:tcW w:w="0" w:type="auto"/>
            <w:hideMark/>
          </w:tcPr>
          <w:p w14:paraId="6D4CB9FB" w14:textId="77777777" w:rsidR="00066046" w:rsidRPr="00066046" w:rsidRDefault="00066046" w:rsidP="00066046">
            <w:pPr>
              <w:spacing w:after="160" w:line="259" w:lineRule="auto"/>
              <w:cnfStyle w:val="000000100000" w:firstRow="0" w:lastRow="0" w:firstColumn="0" w:lastColumn="0" w:oddVBand="0" w:evenVBand="0" w:oddHBand="1" w:evenHBand="0" w:firstRowFirstColumn="0" w:firstRowLastColumn="0" w:lastRowFirstColumn="0" w:lastRowLastColumn="0"/>
            </w:pPr>
            <w:r w:rsidRPr="00066046">
              <w:t>Begin compliance processes early and maintain stakeholder engagement.</w:t>
            </w:r>
          </w:p>
        </w:tc>
      </w:tr>
      <w:tr w:rsidR="00066046" w:rsidRPr="00066046" w14:paraId="3FADFFB4" w14:textId="77777777" w:rsidTr="0070741A">
        <w:trPr>
          <w:trHeight w:val="1995"/>
        </w:trPr>
        <w:tc>
          <w:tcPr>
            <w:cnfStyle w:val="001000000000" w:firstRow="0" w:lastRow="0" w:firstColumn="1" w:lastColumn="0" w:oddVBand="0" w:evenVBand="0" w:oddHBand="0" w:evenHBand="0" w:firstRowFirstColumn="0" w:firstRowLastColumn="0" w:lastRowFirstColumn="0" w:lastRowLastColumn="0"/>
            <w:tcW w:w="0" w:type="auto"/>
            <w:hideMark/>
          </w:tcPr>
          <w:p w14:paraId="7CC72FE6" w14:textId="77777777" w:rsidR="00066046" w:rsidRPr="00066046" w:rsidRDefault="00066046" w:rsidP="00066046">
            <w:pPr>
              <w:spacing w:after="160" w:line="259" w:lineRule="auto"/>
            </w:pPr>
            <w:r w:rsidRPr="00066046">
              <w:t>Investor Confidence</w:t>
            </w:r>
          </w:p>
        </w:tc>
        <w:tc>
          <w:tcPr>
            <w:tcW w:w="0" w:type="auto"/>
            <w:hideMark/>
          </w:tcPr>
          <w:p w14:paraId="00857DF3" w14:textId="77777777" w:rsidR="00066046" w:rsidRPr="00066046" w:rsidRDefault="00066046" w:rsidP="00066046">
            <w:pPr>
              <w:spacing w:after="160" w:line="259" w:lineRule="auto"/>
              <w:cnfStyle w:val="000000000000" w:firstRow="0" w:lastRow="0" w:firstColumn="0" w:lastColumn="0" w:oddVBand="0" w:evenVBand="0" w:oddHBand="0" w:evenHBand="0" w:firstRowFirstColumn="0" w:firstRowLastColumn="0" w:lastRowFirstColumn="0" w:lastRowLastColumn="0"/>
            </w:pPr>
            <w:r w:rsidRPr="00066046">
              <w:t>Risk</w:t>
            </w:r>
          </w:p>
        </w:tc>
        <w:tc>
          <w:tcPr>
            <w:tcW w:w="0" w:type="auto"/>
            <w:hideMark/>
          </w:tcPr>
          <w:p w14:paraId="1C3D7C44" w14:textId="77777777" w:rsidR="00066046" w:rsidRPr="00066046" w:rsidRDefault="00066046" w:rsidP="00066046">
            <w:pPr>
              <w:spacing w:after="160" w:line="259" w:lineRule="auto"/>
              <w:cnfStyle w:val="000000000000" w:firstRow="0" w:lastRow="0" w:firstColumn="0" w:lastColumn="0" w:oddVBand="0" w:evenVBand="0" w:oddHBand="0" w:evenHBand="0" w:firstRowFirstColumn="0" w:firstRowLastColumn="0" w:lastRowFirstColumn="0" w:lastRowLastColumn="0"/>
            </w:pPr>
            <w:r w:rsidRPr="00066046">
              <w:t>Moderate</w:t>
            </w:r>
          </w:p>
        </w:tc>
        <w:tc>
          <w:tcPr>
            <w:tcW w:w="0" w:type="auto"/>
            <w:hideMark/>
          </w:tcPr>
          <w:p w14:paraId="7DD4FDE3" w14:textId="77777777" w:rsidR="00066046" w:rsidRPr="00066046" w:rsidRDefault="00066046" w:rsidP="00066046">
            <w:pPr>
              <w:spacing w:after="160" w:line="259" w:lineRule="auto"/>
              <w:cnfStyle w:val="000000000000" w:firstRow="0" w:lastRow="0" w:firstColumn="0" w:lastColumn="0" w:oddVBand="0" w:evenVBand="0" w:oddHBand="0" w:evenHBand="0" w:firstRowFirstColumn="0" w:firstRowLastColumn="0" w:lastRowFirstColumn="0" w:lastRowLastColumn="0"/>
            </w:pPr>
            <w:r w:rsidRPr="00066046">
              <w:t>Low</w:t>
            </w:r>
          </w:p>
        </w:tc>
        <w:tc>
          <w:tcPr>
            <w:tcW w:w="0" w:type="auto"/>
            <w:hideMark/>
          </w:tcPr>
          <w:p w14:paraId="6F1CFA37" w14:textId="77777777" w:rsidR="00066046" w:rsidRPr="00066046" w:rsidRDefault="00066046" w:rsidP="00066046">
            <w:pPr>
              <w:spacing w:after="160" w:line="259" w:lineRule="auto"/>
              <w:cnfStyle w:val="000000000000" w:firstRow="0" w:lastRow="0" w:firstColumn="0" w:lastColumn="0" w:oddVBand="0" w:evenVBand="0" w:oddHBand="0" w:evenHBand="0" w:firstRowFirstColumn="0" w:firstRowLastColumn="0" w:lastRowFirstColumn="0" w:lastRowLastColumn="0"/>
            </w:pPr>
            <w:r w:rsidRPr="00066046">
              <w:t>Governance concerns may discourage private investment.</w:t>
            </w:r>
          </w:p>
        </w:tc>
        <w:tc>
          <w:tcPr>
            <w:tcW w:w="0" w:type="auto"/>
            <w:hideMark/>
          </w:tcPr>
          <w:p w14:paraId="45B8053E" w14:textId="77777777" w:rsidR="00066046" w:rsidRPr="00066046" w:rsidRDefault="00066046" w:rsidP="00066046">
            <w:pPr>
              <w:spacing w:after="160" w:line="259" w:lineRule="auto"/>
              <w:cnfStyle w:val="000000000000" w:firstRow="0" w:lastRow="0" w:firstColumn="0" w:lastColumn="0" w:oddVBand="0" w:evenVBand="0" w:oddHBand="0" w:evenHBand="0" w:firstRowFirstColumn="0" w:firstRowLastColumn="0" w:lastRowFirstColumn="0" w:lastRowLastColumn="0"/>
            </w:pPr>
            <w:r w:rsidRPr="00066046">
              <w:t>Establish transparent contracts and structured risk-sharing mechanisms.</w:t>
            </w:r>
          </w:p>
        </w:tc>
      </w:tr>
    </w:tbl>
    <w:p w14:paraId="66A979AE" w14:textId="77777777" w:rsidR="005B763D" w:rsidRPr="005B763D" w:rsidRDefault="005B763D" w:rsidP="005B763D">
      <w:r w:rsidRPr="005B763D">
        <w:t>Barbara Creecy Approves R51 Billion Guarantee Facility for Transnet to Boost Capital Investment and Operations</w:t>
      </w:r>
    </w:p>
    <w:p w14:paraId="0EADECD8" w14:textId="3120F24E" w:rsidR="005B763D" w:rsidRDefault="005B763D" w:rsidP="005B763D">
      <w:r w:rsidRPr="005B763D">
        <w:t>The Minister of Transport, Barbara Creecy, has this week approved a R51 billion government guarantee facility for Transnet, in collaboration with the Minister of Finance, to support the struggling state-owned freight and logistics company. The facility, which comes into effect immediately, is set to boost Transnet’s capital investment programme, meet its maturing debt obligations, and improve operational efficiencies critical to the country’s economy.</w:t>
      </w:r>
      <w:r w:rsidR="00C54760">
        <w:t xml:space="preserve">       </w:t>
      </w:r>
    </w:p>
    <w:p w14:paraId="0A9D188D" w14:textId="77777777" w:rsidR="00C54760" w:rsidRDefault="00C54760" w:rsidP="005B763D"/>
    <w:p w14:paraId="3286B162" w14:textId="6CFFCF92" w:rsidR="00C54760" w:rsidRDefault="003326BF" w:rsidP="005B763D">
      <w:r>
        <w:t>comparison</w:t>
      </w:r>
    </w:p>
    <w:p w14:paraId="571331A3" w14:textId="31C4F4AE" w:rsidR="008A4159" w:rsidRPr="008A4159" w:rsidRDefault="00C54760" w:rsidP="003326BF">
      <w:r w:rsidRPr="00C54760">
        <w:t>The proposed Kimberley Intermodal Freight Terminal is comparable to the planned Port of Gauteng, a R50 billion inland logistics hub designed to relieve congestion along the Durban–Gauteng Freight Corridor. Both projects aim to enhance intermodal integration and improve national freight efficiency. However, the Port of Gauteng operates at a significantly larger financial and operational scale, with national corridor impact, whereas the Kimberley terminal is regionally focused and developmental in nature. While the Port of Gauteng is positioned as a large-scale logistics transformation initiative, the Kimberley project represents a strategic regional intervention supporting modal shift and rail utilisation within the Northern Cape.</w:t>
      </w:r>
      <w:r w:rsidR="008A4159">
        <w:t xml:space="preserve"> </w:t>
      </w:r>
      <w:r w:rsidR="008A4159" w:rsidRPr="003326BF">
        <w:t xml:space="preserve">Port of Gauteng White </w:t>
      </w:r>
      <w:r w:rsidR="003326BF" w:rsidRPr="003326BF">
        <w:t>(2025)</w:t>
      </w:r>
    </w:p>
    <w:p w14:paraId="34FF68F1" w14:textId="16641601" w:rsidR="00C54760" w:rsidRPr="005B763D" w:rsidRDefault="00C54760" w:rsidP="005B763D"/>
    <w:p w14:paraId="730190D6" w14:textId="77777777" w:rsidR="003326BF" w:rsidRPr="008A4159" w:rsidRDefault="003326BF" w:rsidP="003326BF">
      <w:pPr>
        <w:rPr>
          <w:b/>
          <w:bCs/>
        </w:rPr>
      </w:pPr>
      <w:r w:rsidRPr="008A4159">
        <w:rPr>
          <w:b/>
          <w:bCs/>
        </w:rPr>
        <w:t>Paper Outlines R50 Billion Plan to Transform SA Logistics</w:t>
      </w:r>
    </w:p>
    <w:p w14:paraId="1E1E5E80" w14:textId="77777777" w:rsidR="003326BF" w:rsidRPr="008A4159" w:rsidRDefault="003326BF" w:rsidP="003326BF">
      <w:r w:rsidRPr="008A4159">
        <w:t>02 October 2025 | </w:t>
      </w:r>
      <w:r w:rsidRPr="008A4159">
        <w:rPr>
          <w:i/>
          <w:iCs/>
        </w:rPr>
        <w:t>From Arrive Alive</w:t>
      </w:r>
    </w:p>
    <w:p w14:paraId="117F1CFB" w14:textId="77777777" w:rsidR="00066046" w:rsidRDefault="00066046"/>
    <w:sectPr w:rsidR="000660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464"/>
    <w:rsid w:val="00066046"/>
    <w:rsid w:val="00165464"/>
    <w:rsid w:val="00185C9F"/>
    <w:rsid w:val="001B70B9"/>
    <w:rsid w:val="003326BF"/>
    <w:rsid w:val="003379A4"/>
    <w:rsid w:val="005B763D"/>
    <w:rsid w:val="006A0341"/>
    <w:rsid w:val="006E3F93"/>
    <w:rsid w:val="0070741A"/>
    <w:rsid w:val="007730B0"/>
    <w:rsid w:val="008A4159"/>
    <w:rsid w:val="009363F4"/>
    <w:rsid w:val="00C54760"/>
    <w:rsid w:val="00D24298"/>
    <w:rsid w:val="00DB2FB6"/>
    <w:rsid w:val="00DF489B"/>
    <w:rsid w:val="00FB396C"/>
    <w:rsid w:val="00FF32EE"/>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98EE3"/>
  <w15:chartTrackingRefBased/>
  <w15:docId w15:val="{6187A694-251C-464A-94D5-762C66BC9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4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4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4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4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4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4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464"/>
    <w:rPr>
      <w:rFonts w:eastAsiaTheme="majorEastAsia" w:cstheme="majorBidi"/>
      <w:color w:val="272727" w:themeColor="text1" w:themeTint="D8"/>
    </w:rPr>
  </w:style>
  <w:style w:type="paragraph" w:styleId="Title">
    <w:name w:val="Title"/>
    <w:basedOn w:val="Normal"/>
    <w:next w:val="Normal"/>
    <w:link w:val="TitleChar"/>
    <w:uiPriority w:val="10"/>
    <w:qFormat/>
    <w:rsid w:val="00165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464"/>
    <w:pPr>
      <w:spacing w:before="160"/>
      <w:jc w:val="center"/>
    </w:pPr>
    <w:rPr>
      <w:i/>
      <w:iCs/>
      <w:color w:val="404040" w:themeColor="text1" w:themeTint="BF"/>
    </w:rPr>
  </w:style>
  <w:style w:type="character" w:customStyle="1" w:styleId="QuoteChar">
    <w:name w:val="Quote Char"/>
    <w:basedOn w:val="DefaultParagraphFont"/>
    <w:link w:val="Quote"/>
    <w:uiPriority w:val="29"/>
    <w:rsid w:val="00165464"/>
    <w:rPr>
      <w:i/>
      <w:iCs/>
      <w:color w:val="404040" w:themeColor="text1" w:themeTint="BF"/>
    </w:rPr>
  </w:style>
  <w:style w:type="paragraph" w:styleId="ListParagraph">
    <w:name w:val="List Paragraph"/>
    <w:basedOn w:val="Normal"/>
    <w:uiPriority w:val="34"/>
    <w:qFormat/>
    <w:rsid w:val="00165464"/>
    <w:pPr>
      <w:ind w:left="720"/>
      <w:contextualSpacing/>
    </w:pPr>
  </w:style>
  <w:style w:type="character" w:styleId="IntenseEmphasis">
    <w:name w:val="Intense Emphasis"/>
    <w:basedOn w:val="DefaultParagraphFont"/>
    <w:uiPriority w:val="21"/>
    <w:qFormat/>
    <w:rsid w:val="00165464"/>
    <w:rPr>
      <w:i/>
      <w:iCs/>
      <w:color w:val="0F4761" w:themeColor="accent1" w:themeShade="BF"/>
    </w:rPr>
  </w:style>
  <w:style w:type="paragraph" w:styleId="IntenseQuote">
    <w:name w:val="Intense Quote"/>
    <w:basedOn w:val="Normal"/>
    <w:next w:val="Normal"/>
    <w:link w:val="IntenseQuoteChar"/>
    <w:uiPriority w:val="30"/>
    <w:qFormat/>
    <w:rsid w:val="00165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464"/>
    <w:rPr>
      <w:i/>
      <w:iCs/>
      <w:color w:val="0F4761" w:themeColor="accent1" w:themeShade="BF"/>
    </w:rPr>
  </w:style>
  <w:style w:type="character" w:styleId="IntenseReference">
    <w:name w:val="Intense Reference"/>
    <w:basedOn w:val="DefaultParagraphFont"/>
    <w:uiPriority w:val="32"/>
    <w:qFormat/>
    <w:rsid w:val="00165464"/>
    <w:rPr>
      <w:b/>
      <w:bCs/>
      <w:smallCaps/>
      <w:color w:val="0F4761" w:themeColor="accent1" w:themeShade="BF"/>
      <w:spacing w:val="5"/>
    </w:rPr>
  </w:style>
  <w:style w:type="character" w:styleId="Hyperlink">
    <w:name w:val="Hyperlink"/>
    <w:basedOn w:val="DefaultParagraphFont"/>
    <w:uiPriority w:val="99"/>
    <w:unhideWhenUsed/>
    <w:rsid w:val="00066046"/>
    <w:rPr>
      <w:color w:val="467886" w:themeColor="hyperlink"/>
      <w:u w:val="single"/>
    </w:rPr>
  </w:style>
  <w:style w:type="character" w:styleId="UnresolvedMention">
    <w:name w:val="Unresolved Mention"/>
    <w:basedOn w:val="DefaultParagraphFont"/>
    <w:uiPriority w:val="99"/>
    <w:semiHidden/>
    <w:unhideWhenUsed/>
    <w:rsid w:val="00066046"/>
    <w:rPr>
      <w:color w:val="605E5C"/>
      <w:shd w:val="clear" w:color="auto" w:fill="E1DFDD"/>
    </w:rPr>
  </w:style>
  <w:style w:type="table" w:styleId="GridTable4-Accent3">
    <w:name w:val="Grid Table 4 Accent 3"/>
    <w:basedOn w:val="TableNormal"/>
    <w:uiPriority w:val="49"/>
    <w:rsid w:val="0006604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70741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4">
    <w:name w:val="Grid Table 5 Dark Accent 4"/>
    <w:basedOn w:val="TableNormal"/>
    <w:uiPriority w:val="50"/>
    <w:rsid w:val="007074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x.com/i/status/20113455015313575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1468</TotalTime>
  <Pages>2</Pages>
  <Words>537</Words>
  <Characters>3063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muleya</dc:creator>
  <cp:keywords/>
  <dc:description/>
  <cp:lastModifiedBy>adam muleya</cp:lastModifiedBy>
  <cp:revision>1</cp:revision>
  <dcterms:created xsi:type="dcterms:W3CDTF">2026-02-19T20:10:00Z</dcterms:created>
  <dcterms:modified xsi:type="dcterms:W3CDTF">2026-02-20T20:38:00Z</dcterms:modified>
</cp:coreProperties>
</file>