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https://www.kaggle.com/uciml/red-wine-quality-cortez-et-al-2009/notebooks?datasetId=4458&amp;sortBy=voteCount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Sample Code: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https://www.kaggle.com/ananthreddy/red-wine-quality-polynomial-regression?select=winequality-red.csv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1600 * 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Clean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Label: 1-10 integer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uciml/red-wine-quality-cortez-et-al-2009/notebooks?datasetId=4458&amp;sortBy=voteCount" TargetMode="External"/><Relationship Id="rId7" Type="http://schemas.openxmlformats.org/officeDocument/2006/relationships/hyperlink" Target="https://www.kaggle.com/ananthreddy/red-wine-quality-polynomial-regression?select=winequality-red.csv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