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</w:rPr>
        <w:t>主键检查（是否唯一、为空）</w:t>
      </w:r>
      <w:r>
        <w:rPr>
          <w:rFonts w:hint="eastAsia"/>
          <w:color w:val="FF0000"/>
        </w:rPr>
        <w:t>主键dt,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</w:rPr>
        <w:t>indx_id,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</w:rPr>
        <w:t>scrt_srrg_key唯一且非空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外键检查 </w:t>
      </w:r>
      <w:r>
        <w:rPr>
          <w:rFonts w:hint="eastAsia"/>
          <w:lang w:val="en-US" w:eastAsia="zh-CN"/>
        </w:rPr>
        <w:t>字段值均存在于父表中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拉链表检查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码值检查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一致性检查，包含条数、汇总值（源表一致性、前后一致性）</w:t>
      </w:r>
      <w:r>
        <w:rPr>
          <w:rFonts w:hint="eastAsia"/>
          <w:color w:val="FF0000"/>
        </w:rPr>
        <w:t>插入后条数=属性条数+插入前原表条数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是否有DQC，如果有的话dqc是否测试通过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DQC通过</w:t>
      </w:r>
    </w:p>
    <w:p>
      <w:pPr>
        <w:pStyle w:val="4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color w:val="FF0000"/>
          <w:lang w:val="en-US" w:eastAsia="zh-CN"/>
        </w:rPr>
        <w:t>改动后重跑基金持仓股票PE(加权平均法)和基金持仓股票PB(加权平均法)dqc，通过</w:t>
      </w:r>
    </w:p>
    <w:p>
      <w:pPr>
        <w:pStyle w:val="4"/>
        <w:numPr>
          <w:ilvl w:val="0"/>
          <w:numId w:val="1"/>
        </w:numPr>
        <w:ind w:firstLineChars="0"/>
        <w:rPr>
          <w:rFonts w:hint="default"/>
          <w:lang w:val="en-US"/>
        </w:rPr>
      </w:pPr>
      <w:r>
        <w:rPr>
          <w:rFonts w:hint="eastAsia"/>
        </w:rPr>
        <w:t xml:space="preserve">区别、改动点、结论 </w:t>
      </w:r>
    </w:p>
    <w:p>
      <w:pPr>
        <w:pStyle w:val="4"/>
        <w:numPr>
          <w:numId w:val="0"/>
        </w:numPr>
        <w:ind w:leftChars="0"/>
        <w:rPr>
          <w:rFonts w:hint="default"/>
          <w:color w:val="FF0000"/>
          <w:lang w:val="en-US"/>
        </w:rPr>
      </w:pPr>
      <w:r>
        <w:rPr>
          <w:rFonts w:hint="eastAsia"/>
          <w:color w:val="FF0000"/>
          <w:lang w:val="en-US" w:eastAsia="zh-CN"/>
        </w:rPr>
        <w:t>原</w:t>
      </w:r>
      <w:r>
        <w:rPr>
          <w:rFonts w:hint="eastAsia"/>
          <w:color w:val="FF0000"/>
          <w:lang w:val="en-US" w:eastAsia="zh-CN"/>
        </w:rPr>
        <w:t>基金持仓股票PE(加权平均法)和基金持仓股票PB(加权平均法)指标用</w:t>
      </w:r>
      <w:r>
        <w:rPr>
          <w:rFonts w:hint="default"/>
          <w:color w:val="FF0000"/>
          <w:lang w:val="en-US"/>
        </w:rPr>
        <w:t>f_prt_stkvaluetonav字段</w:t>
      </w:r>
      <w:r>
        <w:rPr>
          <w:rFonts w:hint="eastAsia"/>
          <w:color w:val="FF0000"/>
          <w:lang w:val="en-US" w:eastAsia="zh-CN"/>
        </w:rPr>
        <w:t>进行计算，</w:t>
      </w:r>
      <w:r>
        <w:rPr>
          <w:rFonts w:hint="default"/>
          <w:color w:val="FF0000"/>
          <w:lang w:val="en-US"/>
        </w:rPr>
        <w:t>由于精度问题存在部分为0的值，导致计算后部分数据丢失，改用f_prt_stkvalue代替进行计算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C7653"/>
    <w:multiLevelType w:val="multilevel"/>
    <w:tmpl w:val="6D3C7653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476"/>
    <w:rsid w:val="0000197E"/>
    <w:rsid w:val="00072476"/>
    <w:rsid w:val="0010730B"/>
    <w:rsid w:val="001373A1"/>
    <w:rsid w:val="002D2FE0"/>
    <w:rsid w:val="00356B68"/>
    <w:rsid w:val="003F78C3"/>
    <w:rsid w:val="004335F3"/>
    <w:rsid w:val="00634F1E"/>
    <w:rsid w:val="0064388D"/>
    <w:rsid w:val="006916D4"/>
    <w:rsid w:val="00D46312"/>
    <w:rsid w:val="00E16605"/>
    <w:rsid w:val="4F400AA3"/>
    <w:rsid w:val="6C967035"/>
    <w:rsid w:val="7A18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196</Characters>
  <Lines>1</Lines>
  <Paragraphs>1</Paragraphs>
  <TotalTime>0</TotalTime>
  <ScaleCrop>false</ScaleCrop>
  <LinksUpToDate>false</LinksUpToDate>
  <CharactersWithSpaces>229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2026-03-11T05:35:00Z</dcterms:created>
  <dc:creator>baoyaoyao</dc:creator>
  <cp:lastModifiedBy>yuanchen</cp:lastModifiedBy>
  <dcterms:modified xsi:type="dcterms:W3CDTF">2026-04-08T05:19:50Z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739961FF259247829F608E88A7C04A04</vt:lpwstr>
  </property>
</Properties>
</file>