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41A5" w:rsidRDefault="005D2E9E">
      <w:pPr>
        <w:rPr>
          <w:rStyle w:val="NormalCharacter"/>
          <w:rFonts w:ascii="仿宋" w:eastAsia="仿宋" w:hAnsi="仿宋"/>
          <w:color w:val="000000" w:themeColor="text1"/>
          <w:sz w:val="28"/>
          <w:szCs w:val="28"/>
        </w:rPr>
      </w:pPr>
      <w:r w:rsidRPr="005D2E9E">
        <w:rPr>
          <w:rStyle w:val="NormalCharacter"/>
          <w:rFonts w:ascii="仿宋" w:eastAsia="仿宋" w:hAnsi="仿宋"/>
          <w:color w:val="000000" w:themeColor="text1"/>
          <w:sz w:val="28"/>
          <w:szCs w:val="28"/>
        </w:rPr>
        <w:t>附件20</w:t>
      </w:r>
      <w:r w:rsidR="00B26162">
        <w:rPr>
          <w:rStyle w:val="NormalCharacter"/>
          <w:rFonts w:ascii="仿宋" w:eastAsia="仿宋" w:hAnsi="仿宋"/>
          <w:color w:val="000000" w:themeColor="text1"/>
          <w:sz w:val="28"/>
          <w:szCs w:val="28"/>
        </w:rPr>
        <w:t>26</w:t>
      </w:r>
      <w:r w:rsidRPr="005D2E9E">
        <w:rPr>
          <w:rStyle w:val="NormalCharacter"/>
          <w:rFonts w:ascii="仿宋" w:eastAsia="仿宋" w:hAnsi="仿宋"/>
          <w:color w:val="000000" w:themeColor="text1"/>
          <w:sz w:val="28"/>
          <w:szCs w:val="28"/>
        </w:rPr>
        <w:t>：</w:t>
      </w:r>
      <w:r w:rsidR="00D041A5" w:rsidRPr="00D041A5">
        <w:rPr>
          <w:rStyle w:val="NormalCharacter"/>
          <w:rFonts w:ascii="仿宋" w:eastAsia="仿宋" w:hAnsi="仿宋"/>
          <w:color w:val="000000" w:themeColor="text1"/>
          <w:sz w:val="28"/>
          <w:szCs w:val="28"/>
        </w:rPr>
        <w:t>学术委员会章程、工作规程等制度性文件</w:t>
      </w:r>
    </w:p>
    <w:p w:rsidR="00331DA8" w:rsidRDefault="00331DA8">
      <w:pPr>
        <w:rPr>
          <w:rStyle w:val="NormalCharacter"/>
          <w:rFonts w:ascii="仿宋" w:eastAsia="仿宋" w:hAnsi="仿宋"/>
          <w:color w:val="000000" w:themeColor="text1"/>
          <w:sz w:val="28"/>
          <w:szCs w:val="28"/>
        </w:rPr>
      </w:pPr>
    </w:p>
    <w:p w:rsidR="004305C4" w:rsidRPr="00266D2E" w:rsidRDefault="004305C4" w:rsidP="004305C4">
      <w:pPr>
        <w:pStyle w:val="a3"/>
        <w:spacing w:before="0" w:beforeAutospacing="0" w:after="150" w:afterAutospacing="0"/>
        <w:jc w:val="center"/>
        <w:rPr>
          <w:rStyle w:val="a4"/>
          <w:rFonts w:ascii="仿宋" w:eastAsia="仿宋" w:hAnsi="仿宋"/>
          <w:color w:val="000000" w:themeColor="text1"/>
          <w:sz w:val="32"/>
          <w:szCs w:val="32"/>
        </w:rPr>
      </w:pPr>
      <w:r w:rsidRPr="0040448C">
        <w:rPr>
          <w:rStyle w:val="a4"/>
          <w:rFonts w:ascii="仿宋" w:eastAsia="仿宋" w:hAnsi="仿宋" w:hint="eastAsia"/>
          <w:color w:val="000000" w:themeColor="text1"/>
          <w:sz w:val="32"/>
          <w:szCs w:val="32"/>
        </w:rPr>
        <w:t>鲁艺书画装裱艺术博物馆</w:t>
      </w:r>
    </w:p>
    <w:p w:rsidR="005D2E9E" w:rsidRDefault="00D041A5" w:rsidP="005D2E9E">
      <w:pPr>
        <w:pStyle w:val="a3"/>
        <w:spacing w:before="0" w:beforeAutospacing="0" w:after="150" w:afterAutospacing="0"/>
        <w:jc w:val="center"/>
        <w:rPr>
          <w:rStyle w:val="a4"/>
          <w:rFonts w:ascii="仿宋" w:eastAsia="仿宋" w:hAnsi="仿宋"/>
          <w:color w:val="000000" w:themeColor="text1"/>
          <w:sz w:val="32"/>
          <w:szCs w:val="32"/>
        </w:rPr>
      </w:pPr>
      <w:r w:rsidRPr="00D041A5">
        <w:rPr>
          <w:rStyle w:val="a4"/>
          <w:rFonts w:ascii="仿宋" w:eastAsia="仿宋" w:hAnsi="仿宋"/>
          <w:color w:val="000000" w:themeColor="text1"/>
          <w:sz w:val="32"/>
          <w:szCs w:val="32"/>
        </w:rPr>
        <w:t>学术委员会章程、工作规程等制度性文件</w:t>
      </w:r>
    </w:p>
    <w:p w:rsidR="00D041A5" w:rsidRDefault="00D041A5" w:rsidP="005D2E9E">
      <w:pPr>
        <w:pStyle w:val="a3"/>
        <w:spacing w:before="0" w:beforeAutospacing="0" w:after="150" w:afterAutospacing="0"/>
        <w:jc w:val="center"/>
        <w:rPr>
          <w:rStyle w:val="a4"/>
          <w:rFonts w:ascii="仿宋" w:eastAsia="仿宋" w:hAnsi="仿宋"/>
          <w:color w:val="000000" w:themeColor="text1"/>
          <w:sz w:val="32"/>
          <w:szCs w:val="32"/>
        </w:rPr>
      </w:pPr>
    </w:p>
    <w:p w:rsidR="00D041A5" w:rsidRPr="0098196C" w:rsidRDefault="00D041A5" w:rsidP="005D2E9E">
      <w:pPr>
        <w:pStyle w:val="a3"/>
        <w:spacing w:before="0" w:beforeAutospacing="0" w:after="150" w:afterAutospacing="0"/>
        <w:jc w:val="center"/>
        <w:rPr>
          <w:rStyle w:val="a4"/>
          <w:rFonts w:ascii="仿宋" w:eastAsia="仿宋" w:hAnsi="仿宋"/>
          <w:color w:val="000000" w:themeColor="text1"/>
          <w:sz w:val="32"/>
          <w:szCs w:val="32"/>
        </w:rPr>
      </w:pP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鲁艺书画装裱艺术博物馆学术委员会章程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center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第一章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总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则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第一条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为提高科研水平，加强科研队伍建设，实行科研工作的民主管理、民主监督和科学决策，设立鲁艺书画装裱艺术博物馆学术委员会（以下简称学术委员会）。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第二条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学术委员会是鲁艺书画装裱艺术博物馆学术工作管理机构。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第三条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学术委员会在鲁艺书画装裱艺术博物馆领导班子下开展工作。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center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第二章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工作职责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第四条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审议博物馆科研、业务工作的长远规划和年度计划，审定馆内科研课题的立项，审定对外申报课题的申报书，审定需资助的科研项目的出版。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lastRenderedPageBreak/>
        <w:t>第五条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对鲁艺书画装裱艺术博物馆参与、承担的课题进行督导。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第六条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联络参与鲁艺书画装裱艺术博物馆科研工作的专业技术人员，要求各课题负责人提交开题报告、期中报告、结题报告等，做好课题资料、成果的收集、保存工作，建立数据库。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第七条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评审、验收、鉴定鲁艺书画装裱艺术博物馆各类科研成果。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第八条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组织各项学术活动，聘请有关专家学者，举办学术报告会或学术研讨会。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第九条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促进与文博单位学术工作的交流与组织联络。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center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第三章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组织形式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第十条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学术委员会委员必须作风正派、办事公正、坚持原则、不徇私情，严格遵守国家科技工作的方针、政策和有关规定。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第十一条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学术委员会委员每届任期</w:t>
      </w:r>
      <w:r>
        <w:rPr>
          <w:rFonts w:ascii="PingFang SC" w:eastAsia="PingFang SC" w:cs="PingFang SC"/>
          <w:color w:val="000000"/>
          <w:kern w:val="0"/>
          <w:sz w:val="24"/>
        </w:rPr>
        <w:t>3</w:t>
      </w:r>
      <w:r>
        <w:rPr>
          <w:rFonts w:ascii="PingFang SC" w:eastAsia="PingFang SC" w:cs="PingFang SC" w:hint="eastAsia"/>
          <w:color w:val="000000"/>
          <w:kern w:val="0"/>
          <w:sz w:val="24"/>
        </w:rPr>
        <w:t>年，因特殊情况需缩短或延长任期，须经提请博物馆领导班子批准。但延长或缩短时间最多不得超过一年。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第十二条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学术委员会由</w:t>
      </w:r>
      <w:r w:rsidR="00F248CB">
        <w:rPr>
          <w:rFonts w:ascii="PingFang SC" w:eastAsia="PingFang SC" w:cs="PingFang SC"/>
          <w:color w:val="000000"/>
          <w:kern w:val="0"/>
          <w:sz w:val="24"/>
        </w:rPr>
        <w:t>5</w:t>
      </w:r>
      <w:r>
        <w:rPr>
          <w:rFonts w:ascii="PingFang SC" w:eastAsia="PingFang SC" w:cs="PingFang SC" w:hint="eastAsia"/>
          <w:color w:val="000000"/>
          <w:kern w:val="0"/>
          <w:sz w:val="24"/>
        </w:rPr>
        <w:t>人组成，主任委员</w:t>
      </w:r>
      <w:r>
        <w:rPr>
          <w:rFonts w:ascii="PingFang SC" w:eastAsia="PingFang SC" w:cs="PingFang SC"/>
          <w:color w:val="000000"/>
          <w:kern w:val="0"/>
          <w:sz w:val="24"/>
        </w:rPr>
        <w:t>1</w:t>
      </w:r>
      <w:r>
        <w:rPr>
          <w:rFonts w:ascii="PingFang SC" w:eastAsia="PingFang SC" w:cs="PingFang SC" w:hint="eastAsia"/>
          <w:color w:val="000000"/>
          <w:kern w:val="0"/>
          <w:sz w:val="24"/>
        </w:rPr>
        <w:t>名，副主任委员</w:t>
      </w:r>
      <w:r>
        <w:rPr>
          <w:rFonts w:ascii="PingFang SC" w:eastAsia="PingFang SC" w:cs="PingFang SC"/>
          <w:color w:val="000000"/>
          <w:kern w:val="0"/>
          <w:sz w:val="24"/>
        </w:rPr>
        <w:t>1</w:t>
      </w:r>
      <w:r>
        <w:rPr>
          <w:rFonts w:ascii="PingFang SC" w:eastAsia="PingFang SC" w:cs="PingFang SC" w:hint="eastAsia"/>
          <w:color w:val="000000"/>
          <w:kern w:val="0"/>
          <w:sz w:val="24"/>
        </w:rPr>
        <w:t>人，由学术委员会选举产生。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第十三条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学术委员会秘书处工作由研究部负责，处理日常事务和会议组织、会议记录等。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center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第四章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产生办法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第十四条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拥护本会章程，有加入本会意愿，且具备以下条件之一者，可申请成</w:t>
      </w:r>
      <w:r>
        <w:rPr>
          <w:rFonts w:ascii="PingFang SC" w:eastAsia="PingFang SC" w:cs="PingFang SC" w:hint="eastAsia"/>
          <w:color w:val="000000"/>
          <w:kern w:val="0"/>
          <w:sz w:val="24"/>
        </w:rPr>
        <w:lastRenderedPageBreak/>
        <w:t>为本会会员：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（一）以科举学、教育史、历史学、文物与博物馆学研究为专业方向的研究人员；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（二）在科举学、教育史、历史学、文物与博物馆学研究领域有较高造诣的研究者。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第十五条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学术委员会秘书处可根据学术研究的实际需要提出增补委员名单，并提交学术委员会全体会议，会议审批同意后可增补为博物馆学术委员会委员。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center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第五章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权利义务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第十六条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权利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（一）学术委员会委员在学术委员会上有发言权、表决权、投票权；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（二）对科研及学术活动方面的工作有建议权和批评权；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（三）对学术委员会的决定有复议权；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（四）对学术委员会将要审议的事项有调查权、查阅有关档案资料权；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（五）对学术委员会的工作有批评权和建议权。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第十七条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义务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（一）努力完成馆内有关科研及学术活动方面的任务；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（二）积极参与学术交流活动；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（三）秉公办事，对学术委员会审议的事项及委员们的发言保密；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（四）接受学术申诉，并向博物馆领导班子提出处理意见。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center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lastRenderedPageBreak/>
        <w:t>第六章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议事规程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第十八条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学术委员会决议事项采取民主集中制的原则。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第十九条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学术委员会会议必须有三分之二以上委员出席，所作决议方能有效。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第二十条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学术委员会讨论议案，需以无记名投票方式作出决定时，须有投票人数的半数通过方能有效。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第二十一条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学术委员会每年至少应召开一次全体会议，商讨、评议或决定有关科研业务工作。如有需要，也可随时召集举行。每次会议前，应由学术委员会主任提出会议议程，秘书处提前通知各委员作好讨论准备，以提高会议效率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第二十二条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提交学术委员会讨论的方案，学术委员会主任认为有必要时，可指定一名或几名委员提出初审意见交全体会议审议。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第二十三条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学术委员会作出的决定，如有人提出复议，需先由秘书处出面征得半数以上委员的同意，方可召集全体会议进行复议。经复议通过的决定不得再行复议。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第二十四条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学术委员会主任缺席时，由主任指定一名委员主持会议。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第二十五条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委员因病、事假不能出席学术委员会会议时，必须向学术委员会主任请假。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第二十六条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委员若不遵守有关保密规定，情节严重时，经学术委员会讨论，可免去其学术委员会委员的职务。</w:t>
      </w:r>
    </w:p>
    <w:p w:rsidR="00D041A5" w:rsidRP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第七章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附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则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lastRenderedPageBreak/>
        <w:t>第二十七条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本章程如有未尽事宜，由学术委员会另行议定。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 w:hint="eastAsia"/>
          <w:color w:val="000000"/>
          <w:kern w:val="0"/>
          <w:sz w:val="24"/>
        </w:rPr>
        <w:t>第二十八条</w:t>
      </w: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本章程经鲁艺书画装裱艺术博物馆办公会审定通过后颁布实施。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/>
          <w:color w:val="000000"/>
          <w:kern w:val="0"/>
          <w:sz w:val="24"/>
        </w:rPr>
        <w:t xml:space="preserve"> 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  <w:r>
        <w:rPr>
          <w:rFonts w:ascii="PingFang SC" w:eastAsia="PingFang SC" w:cs="PingFang SC"/>
          <w:color w:val="000000"/>
          <w:kern w:val="0"/>
          <w:sz w:val="24"/>
        </w:rPr>
        <w:t xml:space="preserve">                                                                                                                        </w:t>
      </w:r>
      <w:r>
        <w:rPr>
          <w:rFonts w:ascii="PingFang SC" w:eastAsia="PingFang SC" w:cs="PingFang SC" w:hint="eastAsia"/>
          <w:color w:val="000000"/>
          <w:kern w:val="0"/>
          <w:sz w:val="24"/>
        </w:rPr>
        <w:t>鲁艺书画装裱艺术博物馆</w:t>
      </w:r>
    </w:p>
    <w:p w:rsidR="00D041A5" w:rsidRDefault="00D041A5" w:rsidP="00D041A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4"/>
        </w:rPr>
      </w:pPr>
    </w:p>
    <w:p w:rsidR="008767FD" w:rsidRPr="00FD2103" w:rsidRDefault="00D041A5" w:rsidP="00D041A5">
      <w:pPr>
        <w:pStyle w:val="a3"/>
        <w:spacing w:after="150"/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rFonts w:ascii="PingFang SC" w:eastAsia="PingFang SC" w:cs="PingFang SC"/>
          <w:color w:val="000000"/>
        </w:rPr>
        <w:t xml:space="preserve">                     2018</w:t>
      </w:r>
      <w:r>
        <w:rPr>
          <w:rFonts w:ascii="PingFang SC" w:eastAsia="PingFang SC" w:cs="PingFang SC" w:hint="eastAsia"/>
          <w:color w:val="000000"/>
        </w:rPr>
        <w:t>年</w:t>
      </w:r>
      <w:r>
        <w:rPr>
          <w:rFonts w:ascii="PingFang SC" w:eastAsia="PingFang SC" w:cs="PingFang SC"/>
          <w:color w:val="000000"/>
        </w:rPr>
        <w:t>11</w:t>
      </w:r>
      <w:r>
        <w:rPr>
          <w:rFonts w:ascii="PingFang SC" w:eastAsia="PingFang SC" w:cs="PingFang SC" w:hint="eastAsia"/>
          <w:color w:val="000000"/>
        </w:rPr>
        <w:t>月</w:t>
      </w:r>
      <w:r>
        <w:rPr>
          <w:rFonts w:ascii="PingFang SC" w:eastAsia="PingFang SC" w:cs="PingFang SC"/>
          <w:color w:val="000000"/>
        </w:rPr>
        <w:t>23</w:t>
      </w:r>
      <w:r>
        <w:rPr>
          <w:rFonts w:ascii="PingFang SC" w:eastAsia="PingFang SC" w:cs="PingFang SC" w:hint="eastAsia"/>
          <w:color w:val="000000"/>
        </w:rPr>
        <w:t>日</w:t>
      </w:r>
    </w:p>
    <w:sectPr w:rsidR="008767FD" w:rsidRPr="00FD2103" w:rsidSect="00AD15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C4"/>
    <w:rsid w:val="00117E4A"/>
    <w:rsid w:val="00266D2E"/>
    <w:rsid w:val="00331DA8"/>
    <w:rsid w:val="004305C4"/>
    <w:rsid w:val="0056664E"/>
    <w:rsid w:val="005D2E9E"/>
    <w:rsid w:val="008767FD"/>
    <w:rsid w:val="008B301C"/>
    <w:rsid w:val="008D1F74"/>
    <w:rsid w:val="00923EFD"/>
    <w:rsid w:val="0098196C"/>
    <w:rsid w:val="009B739E"/>
    <w:rsid w:val="00AD1583"/>
    <w:rsid w:val="00B26162"/>
    <w:rsid w:val="00D041A5"/>
    <w:rsid w:val="00DF644A"/>
    <w:rsid w:val="00F248CB"/>
    <w:rsid w:val="00FD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2257"/>
  <w15:chartTrackingRefBased/>
  <w15:docId w15:val="{E13C0118-1708-484A-A3FD-AA96E6E6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semiHidden/>
    <w:rsid w:val="004305C4"/>
  </w:style>
  <w:style w:type="paragraph" w:styleId="a3">
    <w:name w:val="Normal (Web)"/>
    <w:basedOn w:val="a"/>
    <w:uiPriority w:val="99"/>
    <w:unhideWhenUsed/>
    <w:rsid w:val="004305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4305C4"/>
    <w:rPr>
      <w:b/>
      <w:bCs/>
    </w:rPr>
  </w:style>
  <w:style w:type="paragraph" w:styleId="a5">
    <w:name w:val="Date"/>
    <w:basedOn w:val="a"/>
    <w:next w:val="a"/>
    <w:link w:val="a6"/>
    <w:uiPriority w:val="99"/>
    <w:semiHidden/>
    <w:unhideWhenUsed/>
    <w:rsid w:val="009B739E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B7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7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kuanhou</dc:creator>
  <cp:keywords/>
  <dc:description/>
  <cp:lastModifiedBy>tian kuanhou</cp:lastModifiedBy>
  <cp:revision>16</cp:revision>
  <dcterms:created xsi:type="dcterms:W3CDTF">2020-05-26T10:48:00Z</dcterms:created>
  <dcterms:modified xsi:type="dcterms:W3CDTF">2020-07-08T09:34:00Z</dcterms:modified>
</cp:coreProperties>
</file>