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PingFang SC" w:hAnsi="PingFang SC" w:eastAsia="PingFang SC"/>
          <w:b/>
          <w:color w:val="0B2545"/>
          <w:sz w:val="48"/>
        </w:rPr>
        <w:t>微信视频号量化投流助手</w:t>
      </w:r>
    </w:p>
    <w:p>
      <w:pPr>
        <w:spacing w:after="280"/>
      </w:pPr>
      <w:r>
        <w:rPr>
          <w:rFonts w:ascii="PingFang SC" w:hAnsi="PingFang SC" w:eastAsia="PingFang SC"/>
          <w:b w:val="0"/>
          <w:color w:val="5A6573"/>
          <w:sz w:val="28"/>
        </w:rPr>
        <w:t>第一阶段：核心数据可及性需求与测试台账</w:t>
      </w:r>
    </w:p>
    <w:p>
      <w:pPr>
        <w:spacing w:after="120" w:line="300" w:lineRule="auto"/>
      </w:pPr>
      <w:r>
        <w:rPr>
          <w:rFonts w:ascii="PingFang SC" w:hAnsi="PingFang SC" w:eastAsia="PingFang SC"/>
          <w:b/>
          <w:sz w:val="22"/>
        </w:rPr>
        <w:t>版本：</w:t>
      </w:r>
      <w:r>
        <w:rPr>
          <w:rFonts w:ascii="PingFang SC" w:hAnsi="PingFang SC" w:eastAsia="PingFang SC"/>
          <w:sz w:val="22"/>
        </w:rPr>
        <w:t xml:space="preserve"> v0.1</w:t>
      </w:r>
    </w:p>
    <w:p>
      <w:pPr>
        <w:spacing w:after="120" w:line="300" w:lineRule="auto"/>
      </w:pPr>
      <w:r>
        <w:rPr>
          <w:rFonts w:ascii="PingFang SC" w:hAnsi="PingFang SC" w:eastAsia="PingFang SC"/>
          <w:b/>
          <w:sz w:val="22"/>
        </w:rPr>
        <w:t>日期：</w:t>
      </w:r>
      <w:r>
        <w:rPr>
          <w:rFonts w:ascii="PingFang SC" w:hAnsi="PingFang SC" w:eastAsia="PingFang SC"/>
          <w:sz w:val="22"/>
        </w:rPr>
        <w:t xml:space="preserve"> 2026-07-23</w:t>
      </w:r>
    </w:p>
    <w:p>
      <w:pPr>
        <w:spacing w:after="120" w:line="300" w:lineRule="auto"/>
      </w:pPr>
      <w:r>
        <w:rPr>
          <w:rFonts w:ascii="PingFang SC" w:hAnsi="PingFang SC" w:eastAsia="PingFang SC"/>
          <w:b/>
          <w:sz w:val="22"/>
        </w:rPr>
        <w:t>阶段目标：</w:t>
      </w:r>
      <w:r>
        <w:rPr>
          <w:rFonts w:ascii="PingFang SC" w:hAnsi="PingFang SC" w:eastAsia="PingFang SC"/>
          <w:sz w:val="22"/>
        </w:rPr>
        <w:t xml:space="preserve"> 判断系统核心数据是否可稳定、持续、低风险地获取，并确认三端数据能否关联到同一条视频。</w:t>
      </w:r>
    </w:p>
    <w:p>
      <w:pPr>
        <w:spacing w:after="120" w:line="300" w:lineRule="auto"/>
      </w:pPr>
      <w:r>
        <w:rPr>
          <w:rFonts w:ascii="PingFang SC" w:hAnsi="PingFang SC" w:eastAsia="PingFang SC"/>
          <w:b/>
          <w:sz w:val="22"/>
        </w:rPr>
        <w:t>本阶段边界：</w:t>
      </w:r>
      <w:r>
        <w:rPr>
          <w:rFonts w:ascii="PingFang SC" w:hAnsi="PingFang SC" w:eastAsia="PingFang SC"/>
          <w:sz w:val="22"/>
        </w:rPr>
        <w:t xml:space="preserve"> 仅进行只读验证与数据采集，不创建、修改、追加或终止任何投放订单。</w:t>
      </w:r>
    </w:p>
    <w:p>
      <w:pPr>
        <w:pStyle w:val="Heading1"/>
      </w:pPr>
      <w:r>
        <w:t>1. 阶段结论标准</w:t>
      </w:r>
    </w:p>
    <w:p>
      <w:pPr>
        <w:spacing w:after="120" w:line="300" w:lineRule="auto"/>
      </w:pPr>
      <w:r>
        <w:rPr>
          <w:rFonts w:ascii="PingFang SC" w:hAnsi="PingFang SC" w:eastAsia="PingFang SC"/>
          <w:sz w:val="22"/>
        </w:rPr>
        <w:t>第一阶段需要回答五个问题：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能否为每条视频建立稳定的全局标识？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能否持续获取视频流量、互动与关注的累计快照？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能否把商品点击、订单、GMV 和退款归因到单条视频？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能否持续获取微信豆订单的预算、消耗、付费结果和配置？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能否可靠区分或估算自然流量与付费流量？</w:t>
      </w:r>
    </w:p>
    <w:p>
      <w:pPr>
        <w:pStyle w:val="Heading2"/>
      </w:pPr>
      <w:r>
        <w:t>1.1 P0 生死指标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050"/>
        <w:gridCol w:w="1750"/>
        <w:gridCol w:w="3100"/>
        <w:gridCol w:w="346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最低可接受条件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不满足的影响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P0-01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视频唯一标识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流量端、变现端、消耗端至少两端存在可稳定映射的视频 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无法可靠跨库关联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P0-02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投放订单唯一标识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 xml:space="preserve">每笔订单有稳定 </w:t>
            </w:r>
            <w:r>
              <w:rPr>
                <w:rFonts w:ascii="Consolas" w:hAnsi="Consolas" w:eastAsia="PingFang SC"/>
                <w:color w:val="1F4D78"/>
                <w:sz w:val="20"/>
              </w:rPr>
              <w:t>campaign_id/order_id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无法支持多次追投与订单级分析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P0-03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实际消耗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可按订单读取累计消耗及更新时间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无法计算 ROI、成本与止损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P0-04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付费结果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至少可读取付费播放；最好包含付费关注和互动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无法判断投放效率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P0-05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单视频成交归因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可获得单视频订单数、GMV，且归因口径可解释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无法计算单视频 GPM/ROI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P0-06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周期性快照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核心累计指标可重复读取并带采集时间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无法计算流速、边际变化与衰减</w:t>
            </w:r>
          </w:p>
        </w:tc>
      </w:tr>
    </w:tbl>
    <w:p>
      <w:pPr>
        <w:spacing w:after="40"/>
      </w:pPr>
    </w:p>
    <w:p>
      <w:pPr>
        <w:pStyle w:val="Heading2"/>
      </w:pPr>
      <w:r>
        <w:t>1.2 可及性等级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定义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官方接口或官方导出；字段稳定、口径明确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登录态下 XHR/Fetch JSON；可稳定重复读取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页面内嵌数据或 DOM；需要页面结构降级解析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截图/OCR 或人工录入；只能作为补充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当前不可获得</w:t>
            </w:r>
          </w:p>
        </w:tc>
      </w:tr>
    </w:tbl>
    <w:p>
      <w:pPr>
        <w:spacing w:after="40"/>
      </w:pPr>
    </w:p>
    <w:p>
      <w:pPr>
        <w:pStyle w:val="Heading1"/>
      </w:pPr>
      <w:r>
        <w:t>2. 统一主键与实体模型</w:t>
      </w:r>
    </w:p>
    <w:p>
      <w:pPr>
        <w:pStyle w:val="Heading2"/>
      </w:pPr>
      <w:r>
        <w:t>2.1 必须识别的实体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账号：</w:t>
      </w:r>
      <w:r>
        <w:rPr>
          <w:rFonts w:ascii="Consolas" w:hAnsi="Consolas" w:eastAsia="PingFang SC"/>
          <w:color w:val="1F4D78"/>
          <w:sz w:val="20"/>
        </w:rPr>
        <w:t>account_id</w:t>
      </w:r>
      <w:r>
        <w:rPr>
          <w:rFonts w:ascii="PingFang SC" w:hAnsi="PingFang SC" w:eastAsia="PingFang SC"/>
          <w:sz w:val="22"/>
        </w:rPr>
        <w:t>、视频号名称、主体、店铺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视频：</w:t>
      </w:r>
      <w:r>
        <w:rPr>
          <w:rFonts w:ascii="Consolas" w:hAnsi="Consolas" w:eastAsia="PingFang SC"/>
          <w:color w:val="1F4D78"/>
          <w:sz w:val="20"/>
        </w:rPr>
        <w:t>video_id/feed_id/object_id</w:t>
      </w:r>
      <w:r>
        <w:rPr>
          <w:rFonts w:ascii="PingFang SC" w:hAnsi="PingFang SC" w:eastAsia="PingFang SC"/>
          <w:sz w:val="22"/>
        </w:rPr>
        <w:t>、标题、精确发布时间。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投放订单：</w:t>
      </w:r>
      <w:r>
        <w:rPr>
          <w:rFonts w:ascii="Consolas" w:hAnsi="Consolas" w:eastAsia="PingFang SC"/>
          <w:color w:val="1F4D78"/>
          <w:sz w:val="20"/>
        </w:rPr>
        <w:t>campaign_id/order_id</w:t>
      </w:r>
      <w:r>
        <w:rPr>
          <w:rFonts w:ascii="PingFang SC" w:hAnsi="PingFang SC" w:eastAsia="PingFang SC"/>
          <w:sz w:val="22"/>
        </w:rPr>
        <w:t>、所投视频 ID、创建时间。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商品：</w:t>
      </w:r>
      <w:r>
        <w:rPr>
          <w:rFonts w:ascii="Consolas" w:hAnsi="Consolas" w:eastAsia="PingFang SC"/>
          <w:color w:val="1F4D78"/>
          <w:sz w:val="20"/>
        </w:rPr>
        <w:t>product_id/spu_id/sku_id</w:t>
      </w:r>
      <w:r>
        <w:rPr>
          <w:rFonts w:ascii="PingFang SC" w:hAnsi="PingFang SC" w:eastAsia="PingFang SC"/>
          <w:sz w:val="22"/>
        </w:rPr>
        <w:t>、商品名称。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交易：</w:t>
      </w:r>
      <w:r>
        <w:rPr>
          <w:rFonts w:ascii="Consolas" w:hAnsi="Consolas" w:eastAsia="PingFang SC"/>
          <w:color w:val="1F4D78"/>
          <w:sz w:val="20"/>
        </w:rPr>
        <w:t>transaction_id/order_id</w:t>
      </w:r>
      <w:r>
        <w:rPr>
          <w:rFonts w:ascii="PingFang SC" w:hAnsi="PingFang SC" w:eastAsia="PingFang SC"/>
          <w:sz w:val="22"/>
        </w:rPr>
        <w:t>，如无法获取明细则至少保留聚合口径。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快照：</w:t>
      </w:r>
      <w:r>
        <w:rPr>
          <w:rFonts w:ascii="Consolas" w:hAnsi="Consolas" w:eastAsia="PingFang SC"/>
          <w:color w:val="1F4D78"/>
          <w:sz w:val="20"/>
        </w:rPr>
        <w:t>snapshot_time</w:t>
      </w:r>
      <w:r>
        <w:rPr>
          <w:rFonts w:ascii="PingFang SC" w:hAnsi="PingFang SC" w:eastAsia="PingFang SC"/>
          <w:sz w:val="22"/>
        </w:rPr>
        <w:t>，表示本地实际采集时刻。</w:t>
      </w:r>
    </w:p>
    <w:p>
      <w:pPr>
        <w:pStyle w:val="Heading2"/>
      </w:pPr>
      <w:r>
        <w:t>2.2 视频关联优先级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三端统一的全局视频 ID。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两端统一 ID，第三端通过稳定映射表关联。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PingFang SC"/>
          <w:color w:val="1F4D78"/>
          <w:sz w:val="20"/>
        </w:rPr>
        <w:t>账号 ID + 完整标题 + 精确发布时间</w:t>
      </w:r>
      <w:r>
        <w:rPr>
          <w:rFonts w:ascii="PingFang SC" w:hAnsi="PingFang SC" w:eastAsia="PingFang SC"/>
          <w:sz w:val="22"/>
        </w:rPr>
        <w:t xml:space="preserve"> 联合匹配。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标题模糊匹配只用于人工复核，不允许直接驱动自动投流。</w:t>
      </w:r>
    </w:p>
    <w:p>
      <w:pPr>
        <w:pStyle w:val="Heading2"/>
      </w:pPr>
      <w:r>
        <w:t>2.3 关系约束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一个账号可有多条视频。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一条视频可关联多个商品。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一条视频可有多笔投放订单和多次追投。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一条视频、商品和投放订单均可有多个时间点快照。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每条抓取记录必须保留来源系统、接口/页面、抓取方式和抓取时间。</w:t>
      </w:r>
    </w:p>
    <w:p>
      <w:pPr>
        <w:pStyle w:val="Heading1"/>
      </w:pPr>
      <w:r>
        <w:t>3. 数据需求总表</w:t>
      </w:r>
    </w:p>
    <w:p>
      <w:pPr>
        <w:pStyle w:val="Heading2"/>
      </w:pPr>
      <w:r>
        <w:t>3.1 流量端：视频号创作者中心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50"/>
        <w:gridCol w:w="720"/>
        <w:gridCol w:w="1500"/>
        <w:gridCol w:w="2550"/>
        <w:gridCol w:w="1050"/>
        <w:gridCol w:w="1450"/>
        <w:gridCol w:w="144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规范字段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业务定义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粒度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时效要求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当前状态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account_id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视频号账号稳定标识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账号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低频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video_id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视频全局唯一标识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publish_time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精确到分钟或秒的发布时间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已由导出证实，接口待测试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完整视频标题/描述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已由导出证实，接口待测试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total_views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当前累计播放量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5–15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已由导出证实，实时性待测试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likes_thumb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拇指赞累计值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likes_heart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爱心赞累计值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comments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评论累计值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T-09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shares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分享累计值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new_followers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视频带来的新增关注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30–60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T-11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completion_rate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完播率及其统计口径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T-12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avg_watch_time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平均观看时长，单位秒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T-13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video_duration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视频总时长，单位秒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T-14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traffic_source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推荐、关注、搜索等来源拆分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</w:tbl>
    <w:p>
      <w:pPr>
        <w:spacing w:after="40"/>
      </w:pPr>
    </w:p>
    <w:p>
      <w:pPr>
        <w:pStyle w:val="Heading2"/>
      </w:pPr>
      <w:r>
        <w:t>3.2 变现端：带货中心/微信小店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50"/>
        <w:gridCol w:w="720"/>
        <w:gridCol w:w="1500"/>
        <w:gridCol w:w="2550"/>
        <w:gridCol w:w="1050"/>
        <w:gridCol w:w="1450"/>
        <w:gridCol w:w="144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规范字段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业务定义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粒度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时效要求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当前状态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video_fk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可与流量端视频关联的 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product_id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商品稳定标识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视频×商品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product_name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商品名称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视频×商品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已由历史表部分证实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product_clicks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商品点击次数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30–60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product_click_users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商品点击人数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30–60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order_count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成交订单数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30–60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order_gmv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下单金额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30–60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paid_gmv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实际支付成交金额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30–60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字段口径待测试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M-09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refund_count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退款订单数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refund_gmv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退款金额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已由导出证实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M-11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net_gmv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扣退款后的净成交金额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需确认能否直接取得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M-12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attribution_time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成交归因发生时间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订单/聚合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小时级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M-13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attribution_window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视频成交归因窗口及规则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规则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变更时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待核实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M-14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gmv_per_1k_views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千次观看成交金额；统一公式为 GMV/播放×1000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视频快照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派生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可自行计算</w:t>
            </w:r>
          </w:p>
        </w:tc>
      </w:tr>
    </w:tbl>
    <w:p>
      <w:pPr>
        <w:spacing w:after="40"/>
      </w:pPr>
    </w:p>
    <w:p>
      <w:pPr>
        <w:pStyle w:val="Heading2"/>
      </w:pPr>
      <w:r>
        <w:t>3.3 消耗端：微信豆加热平台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50"/>
        <w:gridCol w:w="720"/>
        <w:gridCol w:w="1500"/>
        <w:gridCol w:w="2550"/>
        <w:gridCol w:w="1050"/>
        <w:gridCol w:w="1450"/>
        <w:gridCol w:w="144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规范字段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业务定义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粒度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时效要求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当前状态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campaign_id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投放订单唯一标识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video_fk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被加热视频标识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campaign_status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待开始、投放中、完成、失败等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5–15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objective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播放、点赞、关注、智能加热等目标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total_budget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订单总预算，含追加预算口径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5–15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consumed_amount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当前累计实际消耗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5–15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paid_views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订单带来的付费播放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5–15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paid_followers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订单带来的付费关注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A-09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paid_likes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订单带来的付费点赞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start_time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实际开始时间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end_time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计划及实际结束时间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变更时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targeting_region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全国或地域配置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targeting_gender_age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性别和年龄配置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targeting_source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智能、达人、群聊等人群配置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静态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failure_reason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投不出、审核失败等原因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投放订单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事件级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A-16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PingFang SC"/>
                <w:color w:val="1F4D78"/>
                <w:sz w:val="20"/>
              </w:rPr>
              <w:t>natural_lift_views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平台直接给出的额外自然播放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订单快照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15–30 分钟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7"/>
              </w:rPr>
              <w:t>待测试</w:t>
            </w:r>
          </w:p>
        </w:tc>
      </w:tr>
    </w:tbl>
    <w:p>
      <w:pPr>
        <w:spacing w:after="40"/>
      </w:pPr>
    </w:p>
    <w:p>
      <w:pPr>
        <w:pStyle w:val="Heading1"/>
      </w:pPr>
      <w:r>
        <w:t>4. 快照与派生指标要求</w:t>
      </w:r>
    </w:p>
    <w:p>
      <w:pPr>
        <w:pStyle w:val="Heading2"/>
      </w:pPr>
      <w:r>
        <w:t>4.1 推荐采集频率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投放中的订单与对应视频：每 5–15 分钟。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发布 24 小时内、尚未投放的视频：每 15–30 分钟。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发布 1–7 天的视频：每 1–3 小时。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历史视频与已结束订单：每日回补一次，持续观察退款及归因回写。</w:t>
      </w:r>
    </w:p>
    <w:p>
      <w:pPr>
        <w:spacing w:after="120" w:line="300" w:lineRule="auto"/>
      </w:pPr>
      <w:r>
        <w:rPr>
          <w:rFonts w:ascii="PingFang SC" w:hAnsi="PingFang SC" w:eastAsia="PingFang SC"/>
          <w:sz w:val="22"/>
        </w:rPr>
        <w:t>实际频率必须根据接口限频、数据刷新延迟和账号风险调整。</w:t>
      </w:r>
    </w:p>
    <w:p>
      <w:pPr>
        <w:pStyle w:val="Heading2"/>
      </w:pPr>
      <w:r>
        <w:t>4.2 核心派生指标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计算方式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播放流速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本次总播放 − 上次总播放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必须除以实际时间间隔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流速变化率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当前流速/前一窗口流速 − 1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用于发现加速或衰减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GPM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GMV/总播放×1000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明确使用下单、支付或净 GMV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边际 GPM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新增 GMV/新增播放×1000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适合投中判断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CPM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消耗/付费播放×1000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付费流量成本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关注成本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消耗/付费新增关注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仅在有付费关注口径时使用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ROI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归因 GMV/消耗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同时输出毛 ROI 与净 ROI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自然杠杆率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撬动自然播放/付费播放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优先使用平台官方值</w:t>
            </w:r>
          </w:p>
        </w:tc>
      </w:tr>
    </w:tbl>
    <w:p>
      <w:pPr>
        <w:spacing w:after="40"/>
      </w:pPr>
    </w:p>
    <w:p>
      <w:pPr>
        <w:pStyle w:val="Heading2"/>
      </w:pPr>
      <w:r>
        <w:t>4.3 自然流量估算边界</w:t>
      </w:r>
    </w:p>
    <w:p>
      <w:pPr>
        <w:spacing w:after="120" w:line="300" w:lineRule="auto"/>
      </w:pPr>
      <w:r>
        <w:rPr>
          <w:rFonts w:ascii="PingFang SC" w:hAnsi="PingFang SC" w:eastAsia="PingFang SC"/>
          <w:sz w:val="22"/>
        </w:rPr>
        <w:t xml:space="preserve">若平台不直接提供 </w:t>
      </w:r>
      <w:r>
        <w:rPr>
          <w:rFonts w:ascii="Consolas" w:hAnsi="Consolas" w:eastAsia="PingFang SC"/>
          <w:color w:val="1F4D78"/>
          <w:sz w:val="20"/>
        </w:rPr>
        <w:t>natural_lift_views</w:t>
      </w:r>
      <w:r>
        <w:rPr>
          <w:rFonts w:ascii="PingFang SC" w:hAnsi="PingFang SC" w:eastAsia="PingFang SC"/>
          <w:sz w:val="22"/>
        </w:rPr>
        <w:t>，可进行实验性估算：</w:t>
      </w:r>
    </w:p>
    <w:p>
      <w:pPr>
        <w:spacing w:after="120" w:line="300" w:lineRule="auto"/>
      </w:pPr>
      <w:r>
        <w:rPr>
          <w:rFonts w:ascii="Consolas" w:hAnsi="Consolas" w:eastAsia="PingFang SC"/>
          <w:color w:val="1F4D78"/>
          <w:sz w:val="20"/>
        </w:rPr>
        <w:t>估算撬动自然播放 = 投放期总新增播放 − 付费播放 − 预期自然播放</w:t>
      </w:r>
    </w:p>
    <w:p>
      <w:pPr>
        <w:spacing w:after="120" w:line="300" w:lineRule="auto"/>
      </w:pPr>
      <w:r>
        <w:rPr>
          <w:rFonts w:ascii="PingFang SC" w:hAnsi="PingFang SC" w:eastAsia="PingFang SC"/>
          <w:sz w:val="22"/>
        </w:rPr>
        <w:t>其中“预期自然播放”应根据投放前多个窗口的自然流速和衰减曲线估计。该结果必须标记为“模型估算”，不得展示为平台精确值，也不得单独作为自动止损依据。</w:t>
      </w:r>
    </w:p>
    <w:p>
      <w:pPr>
        <w:pStyle w:val="Heading1"/>
      </w:pPr>
      <w:r>
        <w:t>5. 单项抓取测试规约</w:t>
      </w:r>
    </w:p>
    <w:p>
      <w:pPr>
        <w:spacing w:after="120" w:line="300" w:lineRule="auto"/>
      </w:pPr>
      <w:r>
        <w:rPr>
          <w:rFonts w:ascii="PingFang SC" w:hAnsi="PingFang SC" w:eastAsia="PingFang SC"/>
          <w:sz w:val="22"/>
        </w:rPr>
        <w:t>每个模块依次完成以下验证：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人工打开目标页面，确认页面可见字段及账号主体。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记录页面路径、权限角色和是否需要二次扫码。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监听 XHR/Fetch 响应，优先寻找列表接口，再寻找详情接口。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对照页面数值保存脱敏后的关键 JSON 片段。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检查分页、日期范围、排序和筛选参数。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间隔一段时间重复读取，判断数据是否更新。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与官方导出或页面截图进行数值核对。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记录登录态、验证码、限频和接口异常。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若 JSON 不可用，依次降级到页面内嵌数据、DOM、OCR。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更新本台账中的字段名、状态、等级、延迟、风险和结论。</w:t>
      </w:r>
    </w:p>
    <w:p>
      <w:pPr>
        <w:pStyle w:val="Heading2"/>
      </w:pPr>
      <w:r>
        <w:t>5.1 验收阈值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唯一键：重复抓取保持一致；不存在同账号内碰撞。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数值一致性：与页面或官方导出误差原则上不超过 1%，特殊口径需解释。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更新性：能观察到至少一次真实的数据变化。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分页完整性：可稳定遍历全部目标记录，无重复、无漏页。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可恢复性：登录态失效、网络错误后不会产生重复数据或错误覆盖。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只读性：整个测试过程不触发业务状态变更。</w:t>
      </w:r>
    </w:p>
    <w:p>
      <w:pPr>
        <w:pStyle w:val="Heading1"/>
      </w:pPr>
      <w:r>
        <w:t>6. 测试记录模板</w:t>
      </w:r>
    </w:p>
    <w:p>
      <w:pPr>
        <w:pStyle w:val="Heading2"/>
      </w:pPr>
      <w:r>
        <w:t>模块：[模块名称]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测试编号：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测试日期与时间：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测试账号/店铺（脱敏）：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操作人：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页面路径：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权限要求：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状态：未测试 / 成功 / 部分成功 / DOM 降级 / 失败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可及性等级：A / B / C / D / X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API 接口地址（脱敏）：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请求方法及关键参数：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分页方式：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数据刷新延迟：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可查询历史范围：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登录态持续时间：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是否触发验证码/风控：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与页面/导出核对结果：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关键字段映射：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关键 JSON 结构（不得包含 Cookie、Token、签名或个人信息）：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已知限制：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是否可用于自动分析：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下一步：</w:t>
      </w:r>
    </w:p>
    <w:p>
      <w:pPr>
        <w:pStyle w:val="Heading1"/>
      </w:pPr>
      <w:r>
        <w:t>7. 测试顺序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 xml:space="preserve">创作者中心视频列表：优先确认 </w:t>
      </w:r>
      <w:r>
        <w:rPr>
          <w:rFonts w:ascii="Consolas" w:hAnsi="Consolas" w:eastAsia="PingFang SC"/>
          <w:color w:val="1F4D78"/>
          <w:sz w:val="20"/>
        </w:rPr>
        <w:t>video_id</w:t>
      </w:r>
      <w:r>
        <w:rPr>
          <w:rFonts w:ascii="PingFang SC" w:hAnsi="PingFang SC" w:eastAsia="PingFang SC"/>
          <w:sz w:val="22"/>
        </w:rPr>
        <w:t>、发布时间和累计播放。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创作者中心视频详情：确认互动、关注、完播、观看时长和更新延迟。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 xml:space="preserve">带货短视频明细：确认 </w:t>
      </w:r>
      <w:r>
        <w:rPr>
          <w:rFonts w:ascii="Consolas" w:hAnsi="Consolas" w:eastAsia="PingFang SC"/>
          <w:color w:val="1F4D78"/>
          <w:sz w:val="20"/>
        </w:rPr>
        <w:t>video_fk</w:t>
      </w:r>
      <w:r>
        <w:rPr>
          <w:rFonts w:ascii="PingFang SC" w:hAnsi="PingFang SC" w:eastAsia="PingFang SC"/>
          <w:sz w:val="22"/>
        </w:rPr>
        <w:t>、商品、订单、GMV、退款及归因口径。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 xml:space="preserve">微信豆订单列表：确认 </w:t>
      </w:r>
      <w:r>
        <w:rPr>
          <w:rFonts w:ascii="Consolas" w:hAnsi="Consolas" w:eastAsia="PingFang SC"/>
          <w:color w:val="1F4D78"/>
          <w:sz w:val="20"/>
        </w:rPr>
        <w:t>campaign_id</w:t>
      </w:r>
      <w:r>
        <w:rPr>
          <w:rFonts w:ascii="PingFang SC" w:hAnsi="PingFang SC" w:eastAsia="PingFang SC"/>
          <w:sz w:val="22"/>
        </w:rPr>
        <w:t>、</w:t>
      </w:r>
      <w:r>
        <w:rPr>
          <w:rFonts w:ascii="Consolas" w:hAnsi="Consolas" w:eastAsia="PingFang SC"/>
          <w:color w:val="1F4D78"/>
          <w:sz w:val="20"/>
        </w:rPr>
        <w:t>video_fk</w:t>
      </w:r>
      <w:r>
        <w:rPr>
          <w:rFonts w:ascii="PingFang SC" w:hAnsi="PingFang SC" w:eastAsia="PingFang SC"/>
          <w:sz w:val="22"/>
        </w:rPr>
        <w:t>、状态、预算和消耗。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微信豆订单详情：确认付费播放、付费关注、定向配置及自然流量字段。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跨端映射实验：选择 3–5 条视频，验证三端关联准确率。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连续快照实验：对一条正在增长的视频和一笔投放中订单运行 24–72 小时。</w:t>
      </w:r>
    </w:p>
    <w:p>
      <w:pPr>
        <w:pStyle w:val="Heading1"/>
      </w:pPr>
      <w:r>
        <w:t>8. 安全与合规约束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第一阶段严格只读，不点击创建、追加、暂停、终止、退款等按钮。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不在代码、日志、截图或测试报告中保存明文 Cookie、Token、签名和完整请求头。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会话文件与业务数据分开存储，并限制访问权限。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所有接口地址和 JSON 示例在共享前进行脱敏。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使用保守频率、指数退避和错误熔断，不绕过验证码或平台安全措施。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页面或接口发生结构变化时停止自动决策，转入人工复核。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生产使用前需进一步核对平台规则、账号授权和数据处理边界。</w:t>
      </w:r>
    </w:p>
    <w:p>
      <w:pPr>
        <w:pStyle w:val="Heading1"/>
      </w:pPr>
      <w:r>
        <w:t>9. 第一阶段交付物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本数据需求与测试台账。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三端页面、接口及字段映射清单。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脱敏后的关键响应样例。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主键与跨端映射结论。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数据刷新延迟和历史范围说明。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24–72 小时连续采集稳定性报告。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P0 指标可用性结论：可用、受限可用或不可用。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sz w:val="22"/>
        </w:rPr>
        <w:t>第二阶段数据模型与采集架构建议。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PingFang SC" w:hAnsi="PingFang SC" w:eastAsia="PingFang SC"/>
        <w:color w:val="5A6573"/>
        <w:sz w:val="18"/>
      </w:rPr>
      <w:t xml:space="preserve">第 </w:t>
    </w:r>
    <w:fldSimple w:instr="PAGE"/>
    <w:r>
      <w:rPr>
        <w:rFonts w:ascii="PingFang SC" w:hAnsi="PingFang SC" w:eastAsia="PingFang SC"/>
        <w:color w:val="5A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PingFang SC" w:hAnsi="PingFang SC" w:eastAsia="PingFang SC"/>
        <w:b/>
        <w:color w:val="5A6573"/>
        <w:sz w:val="18"/>
      </w:rPr>
      <w:t>WXAdCopilot  ·  第一阶段数据可及性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微信视频号量化投流助手：核心数据可及性需求与测试台账</dc:title>
  <dc:subject>第一阶段数据可及性验证</dc:subject>
  <dc:creator>python-docx</dc:creator>
  <cp:keywords>微信视频号, 微信豆, 数据可及性, 投流分析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