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eiti SC"/>
          <w:color w:val="000000"/>
        </w:rPr>
        <w:t>财税 Agent Harness 初赛参赛说明</w:t>
      </w:r>
    </w:p>
    <w:p>
      <w:r>
        <w:rPr>
          <w:rFonts w:ascii="Arial" w:hAnsi="Arial" w:eastAsia="Songti SC"/>
          <w:color w:val="000000"/>
        </w:rPr>
        <w:t>材料版本 1.1.0</w:t>
      </w:r>
    </w:p>
    <w:p>
      <w:r>
        <w:rPr>
          <w:rFonts w:ascii="Arial" w:hAnsi="Arial" w:eastAsia="Songti SC"/>
          <w:color w:val="000000"/>
        </w:rPr>
        <w:t>本题按一周左右的团队开发设计。请实现一个能查询财税资料、补充发票用途，并在多轮对话中继续处理任务的 AI 助手。这里的 Harness，是指连接模型、记忆、知识和业务工具的运行程序。</w:t>
      </w:r>
    </w:p>
    <w:p>
      <w:r>
        <w:rPr>
          <w:rFonts w:ascii="Arial" w:hAnsi="Arial" w:eastAsia="Songti SC"/>
          <w:color w:val="000000"/>
        </w:rPr>
        <w:t>材料包包含《参赛说明》《示例数据》和《业务规则》。开发环境、模型接入、数据存储和系统实现由参赛队自行准备。所有企业、用户、数据和规则均为比赛模拟内容。</w:t>
      </w:r>
    </w:p>
    <w:p>
      <w:pPr>
        <w:pStyle w:val="Heading1"/>
      </w:pPr>
      <w:r>
        <w:rPr>
          <w:rFonts w:ascii="Arial" w:hAnsi="Arial" w:eastAsia="Heiti SC"/>
          <w:color w:val="000000"/>
        </w:rPr>
        <w:t>任务范围</w:t>
      </w:r>
    </w:p>
    <w:p>
      <w:r>
        <w:rPr>
          <w:rFonts w:ascii="Arial" w:hAnsi="Arial" w:eastAsia="Songti SC"/>
          <w:color w:val="000000"/>
        </w:rPr>
        <w:t>三个场景共用同一套处理流程。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304"/>
        <w:gridCol w:w="3969"/>
        <w:gridCol w:w="4365"/>
      </w:tblGrid>
      <w:tr>
        <w:trPr>
          <w:cantSplit/>
          <w:tblHeader w:val="true"/>
        </w:trPr>
        <w:tc>
          <w:tcPr>
            <w:tcW w:type="dxa" w:w="1304"/>
            <w:vAlign w:val="center"/>
            <w:shd w:fill="EDEDED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Heiti SC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3969"/>
            <w:vAlign w:val="center"/>
            <w:shd w:fill="EDEDED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Heiti SC"/>
                <w:b/>
                <w:color w:val="000000"/>
                <w:sz w:val="21"/>
              </w:rPr>
              <w:t>需要解决的问题</w:t>
            </w:r>
          </w:p>
        </w:tc>
        <w:tc>
          <w:tcPr>
            <w:tcW w:type="dxa" w:w="4365"/>
            <w:vAlign w:val="center"/>
            <w:shd w:fill="EDEDED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Heiti SC"/>
                <w:b/>
                <w:color w:val="000000"/>
                <w:sz w:val="21"/>
              </w:rPr>
              <w:t>应完成的处理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查询资料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查询指定企业、月份的发票金额、银行收入与支出，以及相关填写要求</w:t>
            </w:r>
          </w:p>
        </w:tc>
        <w:tc>
          <w:tcPr>
            <w:tcW w:type="dxa" w:w="4365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分别查询和计算金额，查找适用规则，注明依据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补充并保存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按用户要求补充指定发票的用途或备注</w:t>
            </w:r>
          </w:p>
        </w:tc>
        <w:tc>
          <w:tcPr>
            <w:tcW w:type="dxa" w:w="4365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确认企业、发票、修改内容和权限，保存后再查询核对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多轮检查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检查哪些发票缺少用途，根据用户补充继续处理</w:t>
            </w:r>
          </w:p>
        </w:tc>
        <w:tc>
          <w:tcPr>
            <w:tcW w:type="dxa" w:w="4365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记住企业、月份和未完成事项，接着处理并更新结果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rFonts w:ascii="Arial" w:hAnsi="Arial" w:eastAsia="Songti SC"/>
          <w:color w:val="000000"/>
        </w:rPr>
        <w:t>只允许修改发票用途和备注。企业、编号、日期、金额、销售方、项目名称及银行记录不可修改。不执行真实记账、付款或税务申报。</w:t>
      </w:r>
    </w:p>
    <w:p>
      <w:pPr>
        <w:pStyle w:val="Heading1"/>
      </w:pPr>
      <w:r>
        <w:rPr>
          <w:rFonts w:ascii="Arial" w:hAnsi="Arial" w:eastAsia="Heiti SC"/>
          <w:color w:val="000000"/>
        </w:rPr>
        <w:t>基础要求</w:t>
      </w:r>
    </w:p>
    <w:p>
      <w:r>
        <w:rPr>
          <w:rFonts w:ascii="Arial" w:hAnsi="Arial" w:eastAsia="Songti SC"/>
          <w:color w:val="000000"/>
        </w:rPr>
        <w:t xml:space="preserve">1. </w:t>
      </w:r>
      <w:r>
        <w:rPr>
          <w:rFonts w:ascii="Arial" w:hAnsi="Arial" w:eastAsia="Songti SC"/>
          <w:b/>
          <w:color w:val="000000"/>
        </w:rPr>
        <w:t>对话与决策。</w:t>
      </w:r>
      <w:r>
        <w:rPr>
          <w:rFonts w:ascii="Arial" w:hAnsi="Arial" w:eastAsia="Songti SC"/>
          <w:color w:val="000000"/>
        </w:rPr>
        <w:t xml:space="preserve"> 模型理解用户需求，根据当前信息决定查询、追问、调用工具或结束任务。不能用关键词匹配、固定场景分支或背好的回复代替模型理解。</w:t>
      </w:r>
    </w:p>
    <w:p>
      <w:r>
        <w:rPr>
          <w:rFonts w:ascii="Arial" w:hAnsi="Arial" w:eastAsia="Songti SC"/>
          <w:color w:val="000000"/>
        </w:rPr>
        <w:t xml:space="preserve">2. </w:t>
      </w:r>
      <w:r>
        <w:rPr>
          <w:rFonts w:ascii="Arial" w:hAnsi="Arial" w:eastAsia="Songti SC"/>
          <w:b/>
          <w:color w:val="000000"/>
        </w:rPr>
        <w:t>记忆管理。</w:t>
      </w:r>
      <w:r>
        <w:rPr>
          <w:rFonts w:ascii="Arial" w:hAnsi="Arial" w:eastAsia="Songti SC"/>
          <w:color w:val="000000"/>
        </w:rPr>
        <w:t xml:space="preserve"> 保存任务进度和用户明确提出的长期偏好，支持查看、更正和删除；新开对话后仍能合理使用，不混用不同用户、企业的记忆。初赛每个用户在每家企业最多保留一个未完成任务。</w:t>
      </w:r>
    </w:p>
    <w:p>
      <w:r>
        <w:rPr>
          <w:rFonts w:ascii="Arial" w:hAnsi="Arial" w:eastAsia="Songti SC"/>
          <w:color w:val="000000"/>
        </w:rPr>
        <w:t xml:space="preserve">3. </w:t>
      </w:r>
      <w:r>
        <w:rPr>
          <w:rFonts w:ascii="Arial" w:hAnsi="Arial" w:eastAsia="Songti SC"/>
          <w:b/>
          <w:color w:val="000000"/>
        </w:rPr>
        <w:t>知识库管理。</w:t>
      </w:r>
      <w:r>
        <w:rPr>
          <w:rFonts w:ascii="Arial" w:hAnsi="Arial" w:eastAsia="Songti SC"/>
          <w:color w:val="000000"/>
        </w:rPr>
        <w:t xml:space="preserve"> 支持导入、查找、更新和停用规则。回答注明规则名称和版本，资料不足时直说。管理操作可通过命令行或其他简单入口完成，不要求制作管理后台。</w:t>
      </w:r>
    </w:p>
    <w:p>
      <w:r>
        <w:rPr>
          <w:rFonts w:ascii="Arial" w:hAnsi="Arial" w:eastAsia="Songti SC"/>
          <w:color w:val="000000"/>
        </w:rPr>
        <w:t xml:space="preserve">4. </w:t>
      </w:r>
      <w:r>
        <w:rPr>
          <w:rFonts w:ascii="Arial" w:hAnsi="Arial" w:eastAsia="Songti SC"/>
          <w:b/>
          <w:color w:val="000000"/>
        </w:rPr>
        <w:t>模型输入。</w:t>
      </w:r>
      <w:r>
        <w:rPr>
          <w:rFonts w:ascii="Arial" w:hAnsi="Arial" w:eastAsia="Songti SC"/>
          <w:color w:val="000000"/>
        </w:rPr>
        <w:t xml:space="preserve"> 选择本轮需要的对话、记忆、规则和工具结果，控制输入长度，保留企业、月份和未完成事项。需要当前业务数据时重新查询。</w:t>
      </w:r>
    </w:p>
    <w:p>
      <w:r>
        <w:rPr>
          <w:rFonts w:ascii="Arial" w:hAnsi="Arial" w:eastAsia="Songti SC"/>
          <w:color w:val="000000"/>
        </w:rPr>
        <w:t xml:space="preserve">5. </w:t>
      </w:r>
      <w:r>
        <w:rPr>
          <w:rFonts w:ascii="Arial" w:hAnsi="Arial" w:eastAsia="Songti SC"/>
          <w:b/>
          <w:color w:val="000000"/>
        </w:rPr>
        <w:t>数据操作。</w:t>
      </w:r>
      <w:r>
        <w:rPr>
          <w:rFonts w:ascii="Arial" w:hAnsi="Arial" w:eastAsia="Songti SC"/>
          <w:color w:val="000000"/>
        </w:rPr>
        <w:t xml:space="preserve"> 程序负责金额计算、参数检查、权限检查和保存；按用户明确要求修改，保存后重新查询确认。失败时说明原因，不误报成功，不重复修改。</w:t>
      </w:r>
    </w:p>
    <w:p>
      <w:r>
        <w:rPr>
          <w:rFonts w:ascii="Arial" w:hAnsi="Arial" w:eastAsia="Songti SC"/>
          <w:color w:val="000000"/>
        </w:rPr>
        <w:t xml:space="preserve">6. </w:t>
      </w:r>
      <w:r>
        <w:rPr>
          <w:rFonts w:ascii="Arial" w:hAnsi="Arial" w:eastAsia="Songti SC"/>
          <w:b/>
          <w:color w:val="000000"/>
        </w:rPr>
        <w:t>运行记录。</w:t>
      </w:r>
      <w:r>
        <w:rPr>
          <w:rFonts w:ascii="Arial" w:hAnsi="Arial" w:eastAsia="Songti SC"/>
          <w:color w:val="000000"/>
        </w:rPr>
        <w:t xml:space="preserve"> 能查看本轮模型输入、选用的记忆与规则、工具调用及结果，说明答案和操作从哪里来。不要记录模型密钥。</w:t>
      </w:r>
    </w:p>
    <w:p>
      <w:r>
        <w:rPr>
          <w:rFonts w:ascii="Arial" w:hAnsi="Arial" w:eastAsia="Songti SC"/>
          <w:color w:val="000000"/>
        </w:rPr>
        <w:t>回复应像正常业务交流：直接回答当前问题，准确说清已完成和未完成的事，少套话、少重复。只追问缺少的信息，接住用户的补充和更正，保留必要的说明与依据。</w:t>
      </w:r>
    </w:p>
    <w:p>
      <w:r>
        <w:rPr>
          <w:rFonts w:ascii="Arial" w:hAnsi="Arial" w:eastAsia="Songti SC"/>
          <w:color w:val="000000"/>
        </w:rPr>
        <w:t>开发语言、模型和框架不限。允许简单文本检索和本地存储，不强制网页界面、向量数据库、多 Agent 或复杂运维。初赛不要求发票图像识别，全部数据已整理为 Excel。</w:t>
      </w:r>
    </w:p>
    <w:p>
      <w:pPr>
        <w:pStyle w:val="Heading1"/>
      </w:pPr>
      <w:r>
        <w:rPr>
          <w:rFonts w:ascii="Arial" w:hAnsi="Arial" w:eastAsia="Heiti SC"/>
          <w:color w:val="000000"/>
        </w:rPr>
        <w:t>材料内容和阅读顺序</w:t>
      </w:r>
    </w:p>
    <w:p>
      <w:r>
        <w:rPr>
          <w:rFonts w:ascii="Arial" w:hAnsi="Arial" w:eastAsia="Songti SC"/>
          <w:color w:val="000000"/>
        </w:rPr>
        <w:t>先读本说明，再读《业务规则》，最后查看《示例数据》中的说明、企业用户、发票和银行流水。将数据导入自己的程序，用自己实现的工具查询和保存；已保存的当前数据与原始 Excel 分开管理，避免把旧文件当作最新结果。</w:t>
      </w:r>
    </w:p>
    <w:p>
      <w:r>
        <w:rPr>
          <w:rFonts w:ascii="Arial" w:hAnsi="Arial" w:eastAsia="Songti SC"/>
          <w:color w:val="000000"/>
        </w:rPr>
        <w:t>《示例数据》包含两家企业、两名用户，覆盖 2026 年 8 月和 9 月，共 40 张发票、48 条银行收支记录。每家企业每月有 10 张发票、12 条银行记录，其中 8 条支出、4 条收入。U001 可以查看和修改两家企业；U002 只能查看甲企业。</w:t>
      </w:r>
    </w:p>
    <w:p>
      <w:r>
        <w:rPr>
          <w:rFonts w:ascii="Arial" w:hAnsi="Arial" w:eastAsia="Songti SC"/>
          <w:color w:val="000000"/>
        </w:rPr>
        <w:t>空白用途或备注表示未填写。发票销售方名称、项目名称可用于查询和定位，不能据此自动猜测用途。发票金额统一表示价税合计，不需要拆分税额；发票总额、银行收入和银行支出分别统计，不要求相等。字段含义与核对金额见 Excel 中的说明。</w:t>
      </w:r>
    </w:p>
    <w:p>
      <w:r>
        <w:rPr>
          <w:rFonts w:ascii="Arial" w:hAnsi="Arial" w:eastAsia="Songti SC"/>
          <w:color w:val="000000"/>
        </w:rPr>
        <w:t>《业务规则》提供金额统计、发票用途及银行资料要求，并保留甲企业已停用的旧版规则。应按企业、时间和有效状态选择依据。新开对话不代表获得修改授权，仍按本轮用户要求决定是否保存。</w:t>
      </w:r>
    </w:p>
    <w:p>
      <w:pPr>
        <w:pStyle w:val="Heading1"/>
      </w:pPr>
      <w:r>
        <w:rPr>
          <w:rFonts w:ascii="Arial" w:hAnsi="Arial" w:eastAsia="Heiti SC"/>
          <w:color w:val="000000"/>
        </w:rPr>
        <w:t>初赛评分</w:t>
      </w:r>
    </w:p>
    <w:p>
      <w:r>
        <w:rPr>
          <w:rFonts w:ascii="Arial" w:hAnsi="Arial" w:eastAsia="Songti SC"/>
          <w:color w:val="000000"/>
        </w:rPr>
        <w:t>评分维度、权重和“看什么”沿用比赛模板。评委结合实际演示、保存结果和运行记录检查完成情况。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814"/>
        <w:gridCol w:w="737"/>
        <w:gridCol w:w="2835"/>
        <w:gridCol w:w="4252"/>
      </w:tblGrid>
      <w:tr>
        <w:trPr>
          <w:cantSplit/>
          <w:tblHeader w:val="true"/>
        </w:trPr>
        <w:tc>
          <w:tcPr>
            <w:tcW w:type="dxa" w:w="1814"/>
            <w:vAlign w:val="center"/>
            <w:shd w:fill="EDEDED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Heiti SC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737"/>
            <w:vAlign w:val="center"/>
            <w:shd w:fill="EDEDED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Heiti SC"/>
                <w:b/>
                <w:color w:val="000000"/>
                <w:sz w:val="21"/>
              </w:rPr>
              <w:t>权重</w:t>
            </w:r>
          </w:p>
        </w:tc>
        <w:tc>
          <w:tcPr>
            <w:tcW w:type="dxa" w:w="2835"/>
            <w:vAlign w:val="center"/>
            <w:shd w:fill="EDEDED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Heiti SC"/>
                <w:b/>
                <w:color w:val="000000"/>
                <w:sz w:val="21"/>
              </w:rPr>
              <w:t>看什么</w:t>
            </w:r>
          </w:p>
        </w:tc>
        <w:tc>
          <w:tcPr>
            <w:tcW w:type="dxa" w:w="4252"/>
            <w:vAlign w:val="center"/>
            <w:shd w:fill="EDEDED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Heiti SC"/>
                <w:b/>
                <w:color w:val="000000"/>
                <w:sz w:val="21"/>
              </w:rPr>
              <w:t>初赛评分要点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基础任务完成度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40%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主链路能不能跑通，核心功能有没有实现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完成查询、保存和多轮对话；保存结果可核对，记忆与知识管理可用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AI 技术应用合理性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AI 用在刀刃上，模型和规则的边界是否合理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模型负责理解与决策，程序负责计算、校验与保存；能说明分工理由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问题理解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15%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是否真正理解了赛题描述的问题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分清记忆、规则和当前数据；追问明确，回复自然准确，说清完成与未完成事项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后续完善空间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10%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作品有没有继续做下去的可能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能指出当前不足，并说明怎样增加长对话、信息更新或任务恢复能力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创新性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10%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有没有自己的判断和设计，不是纯套模板</w:t>
            </w:r>
          </w:p>
        </w:tc>
        <w:tc>
          <w:tcPr>
            <w:tcW w:type="dxa" w:w="4252"/>
            <w:vAlign w:val="center"/>
          </w:tcPr>
          <w:p>
            <w:pPr>
              <w:keepNext w:val="0"/>
              <w:spacing w:after="0" w:line="300" w:lineRule="exact"/>
            </w:pPr>
            <w:r>
              <w:rPr>
                <w:rFonts w:ascii="Arial" w:hAnsi="Arial" w:eastAsia="Songti SC"/>
                <w:b w:val="0"/>
                <w:color w:val="000000"/>
                <w:sz w:val="21"/>
              </w:rPr>
              <w:t>有具体设计及示例，说明如何减少重复询问、用错规则或无关解释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rFonts w:ascii="Arial" w:hAnsi="Arial" w:eastAsia="Songti SC"/>
          <w:color w:val="000000"/>
        </w:rPr>
        <w:t>优秀作品应完成三个场景，记忆和规则真正用于任务，保存结果能够核对；能够解释模型与程序的分工，回复清楚自然。</w:t>
      </w:r>
    </w:p>
    <w:p>
      <w:r>
        <w:rPr>
          <w:rFonts w:ascii="Arial" w:hAnsi="Arial" w:eastAsia="Songti SC"/>
          <w:color w:val="000000"/>
        </w:rPr>
        <w:t>初赛检查基础场景和核心功能；复赛再增加长对话、未公开的数据组合、规则变化和故障处理，具体要求另行公布。</w:t>
      </w:r>
    </w:p>
    <w:p>
      <w:pPr>
        <w:pStyle w:val="Heading1"/>
      </w:pPr>
      <w:r>
        <w:rPr>
          <w:rFonts w:ascii="Arial" w:hAnsi="Arial" w:eastAsia="Heiti SC"/>
          <w:color w:val="000000"/>
        </w:rPr>
        <w:t>提交内容</w:t>
      </w:r>
    </w:p>
    <w:p>
      <w:r>
        <w:rPr>
          <w:rFonts w:ascii="Arial" w:hAnsi="Arial" w:eastAsia="Songti SC"/>
          <w:color w:val="000000"/>
        </w:rPr>
        <w:t>提交一个作品压缩包，包含源代码、依赖与启动说明、简要设计说明、关键运行记录，以及不超过 5 分钟的演示。设计说明建议 2 至 3 页，写清已完成和未完成的功能、模型与程序的分工、记忆与知识管理方式，以及一个自己的设计选择。</w:t>
      </w:r>
    </w:p>
    <w:p>
      <w:r>
        <w:rPr>
          <w:rFonts w:ascii="Arial" w:hAnsi="Arial" w:eastAsia="Songti SC"/>
          <w:color w:val="000000"/>
        </w:rPr>
        <w:t>演示应覆盖资料查询、补充保存和多轮检查，能够展示追问、更正、跨会话使用记忆及适用规则的选择。展示实际保存的数据和相关运行记录；评委应能按说明启动并核对作品，不能只提供截图或口头声称成功。</w:t>
      </w:r>
    </w:p>
    <w:p>
      <w:r>
        <w:rPr>
          <w:rFonts w:ascii="Arial" w:hAnsi="Arial" w:eastAsia="Songti SC"/>
          <w:color w:val="000000"/>
        </w:rPr>
        <w:t>不要提交真实密钥、个人数据、虚拟环境或大体积依赖文件。比赛时间、提交入口及文件大小限制以主办方通知为准。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Songti SC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310" w:lineRule="exact"/>
      <w:snapToGrid w:val="0"/>
    </w:pPr>
    <w:rPr>
      <w:rFonts w:ascii="Arial" w:hAnsi="Arial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420" w:lineRule="exact"/>
      <w:outlineLvl w:val="0"/>
      <w:snapToGrid w:val="0"/>
    </w:pPr>
    <w:rPr>
      <w:rFonts w:ascii="Arial" w:hAnsi="Arial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60" w:lineRule="exact"/>
      <w:outlineLvl w:val="1"/>
      <w:snapToGrid w:val="0"/>
    </w:pPr>
    <w:rPr>
      <w:rFonts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40" w:after="80" w:line="340" w:lineRule="exact"/>
      <w:outlineLvl w:val="2"/>
      <w:snapToGrid w:val="0"/>
    </w:pPr>
    <w:rPr>
      <w:rFonts w:ascii="Arial" w:hAnsi="Arial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520" w:lineRule="exact" w:before="0"/>
      <w:contextualSpacing/>
      <w:snapToGrid w:val="0"/>
    </w:pPr>
    <w:rPr>
      <w:rFonts w:ascii="Arial" w:hAnsi="Arial" w:eastAsia="Heiti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参赛说明</dc:title>
  <dc:subject>财税 Agent Harness 初赛</dc:subject>
  <dc:creator>比赛材料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