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7777777"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Pr="00BD6C8F">
        <w:rPr>
          <w:rFonts w:cs="Times New Roman"/>
          <w:vertAlign w:val="superscript"/>
        </w:rPr>
        <w:t>1</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39A1E5F8"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6EEF31B5"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and it is one of the most important reasons why people do not favor public transit among other mobility options</w:t>
      </w:r>
      <w:r w:rsidR="002C79B2">
        <w:rPr>
          <w:rFonts w:cs="Times New Roman"/>
          <w:szCs w:val="20"/>
        </w:rPr>
        <w:t xml:space="preserve"> [CITATION NEEDED]</w:t>
      </w:r>
      <w:r w:rsidR="00BB3CDD" w:rsidRPr="003D045B">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236C3DD3"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5E52FD" w:rsidRPr="005E52FD">
        <w:rPr>
          <w:rFonts w:cs="Times New Roman"/>
          <w:szCs w:val="20"/>
        </w:rPr>
        <w:fldChar w:fldCharType="begin" w:fldLock="1"/>
      </w:r>
      <w:r w:rsidR="00073A9E">
        <w:rPr>
          <w:rFonts w:cs="Times New Roman"/>
          <w:szCs w:val="20"/>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GTFS","type":"article-journal","volume":"62"},"uris":["http://www.mendeley.com/documents/?uuid=0a497704-17c2-47a3-b102-c7564d936527"]}],"mendeley":{"formattedCitation":"(Wessel, Allen, &amp; Farber, 2017; Wessel &amp; Farber, 2019)","manualFormatting":"Wessel, Allen, &amp; Farber (2017) and Wessel &amp; Farber (2019)","plainTextFormattedCitation":"(Wessel, Allen, &amp; Farber, 2017; Wessel &amp; Farber, 2019)","previouslyFormattedCitation":"(Wessel, Allen, &amp; Farber, 2017; Wessel &amp; Farber, 2019)"},"properties":{"noteIndex":0},"schema":"https://github.com/citation-style-language/schema/raw/master/csl-citation.json"}</w:instrText>
      </w:r>
      <w:r w:rsidR="005E52FD" w:rsidRPr="005E52FD">
        <w:rPr>
          <w:rFonts w:cs="Times New Roman"/>
          <w:szCs w:val="20"/>
        </w:rPr>
        <w:fldChar w:fldCharType="separate"/>
      </w:r>
      <w:r w:rsidR="005E52FD" w:rsidRPr="005E52FD">
        <w:rPr>
          <w:rFonts w:cs="Times New Roman"/>
          <w:noProof/>
          <w:szCs w:val="20"/>
        </w:rPr>
        <w:t>Wessel, Allen, &amp; Farber (2017) and Wessel &amp; Farber (2019)</w:t>
      </w:r>
      <w:r w:rsidR="005E52FD" w:rsidRPr="005E52FD">
        <w:rPr>
          <w:rFonts w:cs="Times New Roman"/>
          <w:szCs w:val="20"/>
        </w:rPr>
        <w:fldChar w:fldCharType="end"/>
      </w:r>
      <w:r w:rsidR="005E52FD" w:rsidRPr="005E52FD">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5E52FD" w:rsidRPr="005E52FD">
        <w:rPr>
          <w:rFonts w:cs="Times New Roman"/>
          <w:szCs w:val="20"/>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5E52FD" w:rsidRPr="005E52FD">
        <w:rPr>
          <w:rFonts w:cs="Times New Roman"/>
          <w:szCs w:val="20"/>
        </w:rPr>
        <w:fldChar w:fldCharType="separate"/>
      </w:r>
      <w:r w:rsidR="005E52FD" w:rsidRPr="005E52FD">
        <w:rPr>
          <w:rFonts w:cs="Times New Roman"/>
          <w:noProof/>
          <w:szCs w:val="20"/>
        </w:rPr>
        <w:t>(Wessel &amp; Farber, 2019)</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 xml:space="preserve">does not represent the actual accessibility that a user </w:t>
      </w:r>
      <w:r w:rsidR="008C582C">
        <w:rPr>
          <w:rFonts w:cs="Times New Roman"/>
          <w:szCs w:val="20"/>
        </w:rPr>
        <w:lastRenderedPageBreak/>
        <w:t>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67B77ADB"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073A9E">
        <w:rPr>
          <w:rFonts w:cs="Times New Roman"/>
          <w:szCs w:val="20"/>
        </w:rPr>
        <w:instrText>ADDIN CSL_CITATION {"citationItems":[{"id":"ITEM-1","itemData":{"DOI":"10.1007/s10109-022-00382-w","abstract":"The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data","type":"article-journal"},"uris":["http://www.mendeley.com/documents/?uuid=5ad8e01b-bc5d-433d-a355-adf04a72c02e"]}],"mendeley":{"formattedCitation":"(Liu, Porr, &amp; Miller, 2022)","plainTextFormattedCitation":"(Liu, Porr, &amp; Miller, 2022)","previouslyFormattedCitation":"(Liu, Porr, &amp; Miller, 2022)"},"properties":{"noteIndex":0},"schema":"https://github.com/citation-style-language/schema/raw/master/csl-citation.json"}</w:instrText>
      </w:r>
      <w:r w:rsidR="00091347">
        <w:rPr>
          <w:rFonts w:cs="Times New Roman"/>
          <w:szCs w:val="20"/>
        </w:rPr>
        <w:fldChar w:fldCharType="separate"/>
      </w:r>
      <w:r w:rsidR="00091347" w:rsidRPr="00091347">
        <w:rPr>
          <w:rFonts w:cs="Times New Roman"/>
          <w:noProof/>
          <w:szCs w:val="20"/>
        </w:rPr>
        <w:t>(Liu, Porr, &amp; Miller, 2022)</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7D60D97A"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498802ED" w14:textId="3EC1DEC4" w:rsidR="00766064" w:rsidRDefault="00766064" w:rsidP="004E5F6E">
      <w:pPr>
        <w:spacing w:before="120" w:after="120" w:line="240" w:lineRule="auto"/>
        <w:rPr>
          <w:rFonts w:cs="Times New Roman"/>
          <w:szCs w:val="20"/>
        </w:rPr>
      </w:pPr>
      <w:r>
        <w:rPr>
          <w:rFonts w:cs="Times New Roman"/>
          <w:szCs w:val="20"/>
        </w:rPr>
        <w:t>The definition of disruptions are heterogenous and diverse. Depending on the effects,</w:t>
      </w:r>
      <w:r w:rsidR="00B41493">
        <w:rPr>
          <w:rFonts w:cs="Times New Roman"/>
          <w:szCs w:val="20"/>
        </w:rPr>
        <w:t xml:space="preserve"> persistency, and frequency of the event, we can categorize all disruptions with multiple standards: 1) Short-term versus long-term; 2) planned and unplanned </w:t>
      </w:r>
      <w:r w:rsidR="00C44C04">
        <w:rPr>
          <w:rFonts w:cs="Times New Roman"/>
          <w:szCs w:val="20"/>
        </w:rPr>
        <w:fldChar w:fldCharType="begin" w:fldLock="1"/>
      </w:r>
      <w:r w:rsidR="00E73B11">
        <w:rPr>
          <w:rFonts w:cs="Times New Roman"/>
          <w:szCs w:val="20"/>
        </w:rPr>
        <w:instrText>ADDIN CSL_CITATION {"citationItems":[{"id":"ITEM-1","itemData":{"author":[{"dropping-particle":"","family":"Zhu","given":"Shanjiang","non-dropping-particle":"","parse-names":false,"suffix":""},{"dropping-particle":"","family":"Levinson","given":"David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review","type":"article-journal"},"uris":["http://www.mendeley.com/documents/?uuid=9b128f17-aa1c-4e0d-9f2f-b54214687107"]}],"mendeley":{"formattedCitation":"(Zhu &amp; Levinson, 2012)","plainTextFormattedCitation":"(Zhu &amp; Levinson, 2012)","previouslyFormattedCitation":"(Zhu &amp; Levinson, 2012)"},"properties":{"noteIndex":0},"schema":"https://github.com/citation-style-language/schema/raw/master/csl-citation.json"}</w:instrText>
      </w:r>
      <w:r w:rsidR="00C44C04">
        <w:rPr>
          <w:rFonts w:cs="Times New Roman"/>
          <w:szCs w:val="20"/>
        </w:rPr>
        <w:fldChar w:fldCharType="separate"/>
      </w:r>
      <w:r w:rsidR="00C44C04" w:rsidRPr="00C44C04">
        <w:rPr>
          <w:rFonts w:cs="Times New Roman"/>
          <w:noProof/>
          <w:szCs w:val="20"/>
        </w:rPr>
        <w:t>(Zhu &amp; Levinson, 2012)</w:t>
      </w:r>
      <w:r w:rsidR="00C44C04">
        <w:rPr>
          <w:rFonts w:cs="Times New Roman"/>
          <w:szCs w:val="20"/>
        </w:rPr>
        <w:fldChar w:fldCharType="end"/>
      </w:r>
      <w:r w:rsidR="00C44C04">
        <w:rPr>
          <w:rFonts w:cs="Times New Roman"/>
          <w:szCs w:val="20"/>
        </w:rPr>
        <w:t xml:space="preserve">; 3) Recurring </w:t>
      </w:r>
      <w:r w:rsidR="00F75C95">
        <w:rPr>
          <w:rFonts w:cs="Times New Roman"/>
          <w:szCs w:val="20"/>
        </w:rPr>
        <w:t>and non-recurring</w:t>
      </w:r>
      <w:r>
        <w:rPr>
          <w:rFonts w:cs="Times New Roman"/>
          <w:szCs w:val="20"/>
        </w:rPr>
        <w:t xml:space="preserve"> </w:t>
      </w:r>
      <w:r w:rsidR="00F75C95">
        <w:rPr>
          <w:rFonts w:cs="Times New Roman"/>
          <w:szCs w:val="20"/>
        </w:rPr>
        <w:t>(for short-term, traffic-related disruptions)</w:t>
      </w:r>
      <w:r w:rsidR="006F5A8B">
        <w:rPr>
          <w:rFonts w:cs="Times New Roman"/>
          <w:szCs w:val="20"/>
        </w:rPr>
        <w:t xml:space="preserve">. In this paper, we use the </w:t>
      </w:r>
      <w:r w:rsidR="00614A6C">
        <w:rPr>
          <w:rFonts w:cs="Times New Roman"/>
          <w:szCs w:val="20"/>
        </w:rPr>
        <w:t>short/long-term</w:t>
      </w:r>
      <w:r w:rsidR="006F5A8B">
        <w:rPr>
          <w:rFonts w:cs="Times New Roman"/>
          <w:szCs w:val="20"/>
        </w:rPr>
        <w:t xml:space="preserve"> categorization to classify disruptions.</w:t>
      </w:r>
    </w:p>
    <w:p w14:paraId="4B8F6056" w14:textId="77777777" w:rsidR="00766064" w:rsidRDefault="00766064" w:rsidP="004E5F6E">
      <w:pPr>
        <w:spacing w:before="120" w:after="120" w:line="240" w:lineRule="auto"/>
        <w:rPr>
          <w:rFonts w:cs="Times New Roman"/>
          <w:szCs w:val="20"/>
        </w:rPr>
      </w:pPr>
    </w:p>
    <w:p w14:paraId="4091A690" w14:textId="77777777" w:rsidR="004E5F6E" w:rsidRDefault="004E5F6E" w:rsidP="004E5F6E">
      <w:pPr>
        <w:pStyle w:val="Heading2"/>
        <w:rPr>
          <w:rFonts w:cs="Times New Roman"/>
          <w:szCs w:val="20"/>
        </w:rPr>
      </w:pPr>
      <w:r>
        <w:rPr>
          <w:rFonts w:cs="Times New Roman"/>
          <w:szCs w:val="20"/>
        </w:rPr>
        <w:t>Short-term Disruption</w:t>
      </w:r>
    </w:p>
    <w:p w14:paraId="660A7D09" w14:textId="542A4B6F" w:rsidR="003E5A6B" w:rsidRDefault="004E5F6E" w:rsidP="003E5A6B">
      <w:pPr>
        <w:spacing w:before="120" w:after="120" w:line="240" w:lineRule="auto"/>
        <w:rPr>
          <w:rFonts w:cs="Times New Roman"/>
          <w:szCs w:val="20"/>
        </w:rPr>
      </w:pPr>
      <w:r>
        <w:rPr>
          <w:rFonts w:cs="Times New Roman"/>
          <w:szCs w:val="20"/>
        </w:rPr>
        <w:t xml:space="preserve">We define short-term disruption with several standards: 1) the event should be short in time span and will not exceed a day, which is the </w:t>
      </w:r>
      <w:r w:rsidR="003C64C5">
        <w:rPr>
          <w:rFonts w:cs="Times New Roman"/>
          <w:szCs w:val="20"/>
        </w:rPr>
        <w:t xml:space="preserve">time </w:t>
      </w:r>
      <w:r>
        <w:rPr>
          <w:rFonts w:cs="Times New Roman"/>
          <w:szCs w:val="20"/>
        </w:rPr>
        <w:t xml:space="preserve">unit of </w:t>
      </w:r>
      <w:r w:rsidR="003C64C5">
        <w:rPr>
          <w:rFonts w:cs="Times New Roman"/>
          <w:szCs w:val="20"/>
        </w:rPr>
        <w:t xml:space="preserve">the operation of most transit systems; 2) the event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1B7F9D0B"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 xml:space="preserve">Another example is weather, such as rain, snow, or fog. These events can also worsen the road condition and on-time performance. </w:t>
      </w:r>
    </w:p>
    <w:p w14:paraId="4E7E5A4B" w14:textId="3FEF2AA5"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r w:rsidR="007F05D0">
        <w:rPr>
          <w:rFonts w:cs="Times New Roman"/>
          <w:szCs w:val="20"/>
        </w:rPr>
        <w:tab/>
      </w:r>
    </w:p>
    <w:p w14:paraId="16769BF1" w14:textId="77777777" w:rsidR="00CE3B95" w:rsidRDefault="00CE3B95" w:rsidP="003E5A6B">
      <w:pPr>
        <w:spacing w:before="120" w:after="120" w:line="240" w:lineRule="auto"/>
        <w:rPr>
          <w:rFonts w:cs="Times New Roman" w:hint="eastAsia"/>
          <w:szCs w:val="20"/>
        </w:rPr>
      </w:pPr>
    </w:p>
    <w:p w14:paraId="01D3E723" w14:textId="4C255D60" w:rsidR="00081560" w:rsidRDefault="00355B69" w:rsidP="00355B69">
      <w:pPr>
        <w:pStyle w:val="Heading2"/>
      </w:pPr>
      <w:r>
        <w:t xml:space="preserve">Long-term </w:t>
      </w:r>
      <w:r w:rsidRPr="00355B69">
        <w:rPr>
          <w:szCs w:val="32"/>
        </w:rPr>
        <w:t>Disruption</w:t>
      </w:r>
    </w:p>
    <w:p w14:paraId="40EB6F8A" w14:textId="014C2B1C" w:rsidR="00CE3B95" w:rsidRDefault="004E5F6E" w:rsidP="003E5A6B">
      <w:pPr>
        <w:spacing w:before="120" w:after="120" w:line="240" w:lineRule="auto"/>
        <w:rPr>
          <w:rFonts w:cs="Times New Roman" w:hint="eastAsia"/>
          <w:szCs w:val="20"/>
        </w:rPr>
      </w:pPr>
      <w:r>
        <w:rPr>
          <w:rFonts w:cs="Times New Roman"/>
          <w:szCs w:val="20"/>
        </w:rPr>
        <w:t xml:space="preserve">We define long-term disruptions with several standards: 1) the disruptions are longer in time span, which last from </w:t>
      </w:r>
      <w:r w:rsidR="00614A6C">
        <w:rPr>
          <w:rFonts w:cs="Times New Roman"/>
          <w:szCs w:val="20"/>
        </w:rPr>
        <w:t xml:space="preserve">weeks </w:t>
      </w:r>
      <w:r>
        <w:rPr>
          <w:rFonts w:cs="Times New Roman"/>
          <w:szCs w:val="20"/>
        </w:rPr>
        <w:t xml:space="preserve">to multiple years. 2) the disruptions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lastRenderedPageBreak/>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0AEF6B9A"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7C2C64" w:rsidRPr="005A015E">
        <w:rPr>
          <w:rFonts w:cs="Times New Roman"/>
          <w:szCs w:val="24"/>
        </w:rPr>
        <w:instrText>ADDIN CSL_CITATION {"citationItems":[{"id":"ITEM-1","itemData":{"author":[{"dropping-particle":"","family":"Antrim","given":"Aaron","non-dropping-particle":"","parse-names":false,"suffix":""},{"dropping-particle":"","family":"Barbeau","given":"Sean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data","type":"report"},"uris":["http://www.mendeley.com/documents/?uuid=88156d7d-0b2a-4634-9e68-da6c6b1ac132"]},{"id":"ITEM-2","itemData":{"DOI":"10.1177/0042098020919323","ISSN":"0042-0980","abstract":"The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data","type":"article-journal"},"uris":["http://www.mendeley.com/documents/?uuid=f4329fcc-8605-421d-b976-c84d4bc82e13"]}],"mendeley":{"formattedCitation":"(Antrim &amp; Barbeau, 2017; Liu &amp; Miller, 2020)","plainTextFormattedCitation":"(Antrim &amp; Barbeau, 2017; Liu &amp; Miller, 2020)","previouslyFormattedCitation":"(Antrim &amp; Barbeau, 2017; Liu &amp; Miller, 2020)"},"properties":{"noteIndex":0},"schema":"https://github.com/citation-style-language/schema/raw/master/csl-citation.json"}</w:instrText>
      </w:r>
      <w:r w:rsidR="007C2C64" w:rsidRPr="005A015E">
        <w:rPr>
          <w:rFonts w:cs="Times New Roman"/>
          <w:szCs w:val="24"/>
        </w:rPr>
        <w:fldChar w:fldCharType="separate"/>
      </w:r>
      <w:r w:rsidR="007C2C64" w:rsidRPr="005A015E">
        <w:rPr>
          <w:rFonts w:cs="Times New Roman"/>
          <w:noProof/>
          <w:szCs w:val="24"/>
        </w:rPr>
        <w:t>(Antrim &amp; Barbeau, 2017; Liu &amp; Miller, 2020)</w:t>
      </w:r>
      <w:r w:rsidR="007C2C64" w:rsidRPr="005A015E">
        <w:rPr>
          <w:rFonts w:cs="Times New Roman"/>
          <w:szCs w:val="24"/>
        </w:rPr>
        <w:fldChar w:fldCharType="end"/>
      </w:r>
      <w:r w:rsidR="007C2C64">
        <w:rPr>
          <w:rFonts w:cs="Times New Roman"/>
          <w:szCs w:val="24"/>
        </w:rPr>
        <w:t>. The data have two 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7C2C64" w:rsidRPr="005A015E">
        <w:rPr>
          <w:rFonts w:cs="Times New Roman"/>
          <w:szCs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Overview","type":"webpage"},"uris":["http://www.mendeley.com/documents/?uuid=ffedec32-6e4d-4d65-8034-90780db3cd68"]},{"id":"ITEM-2","itemData":{"URL":"https://developers.google.com/transit/gtfs/","abstract":"GTFS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Developers","type":"webpage"},"uris":["http://www.mendeley.com/documents/?uuid=850ac14c-25d7-4766-85ba-214da18b97ce"]}],"mendeley":{"formattedCitation":"(Google, 2021; Google Developers, 2020)","plainTextFormattedCitation":"(Google, 2021; Google Developers, 2020)","previouslyFormattedCitation":"(Google, 2021; Google Developers, 2020)"},"properties":{"noteIndex":0},"schema":"https://github.com/citation-style-language/schema/raw/master/csl-citation.json"}</w:instrText>
      </w:r>
      <w:r w:rsidR="007C2C64" w:rsidRPr="005A015E">
        <w:rPr>
          <w:rFonts w:cs="Times New Roman"/>
          <w:szCs w:val="24"/>
        </w:rPr>
        <w:fldChar w:fldCharType="separate"/>
      </w:r>
      <w:r w:rsidR="007C2C64" w:rsidRPr="005A015E">
        <w:rPr>
          <w:rFonts w:cs="Times New Roman"/>
          <w:noProof/>
          <w:szCs w:val="24"/>
        </w:rPr>
        <w:t>(Google, 2021; Google Developers, 2020)</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0EDA8B5C"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183336">
        <w:instrText>ADDIN CSL_CITATION {"citationItems":[{"id":"ITEM-1","itemData":{"DOI":"10.1080/01441647.2018.1492778","ISBN":"0144-1647","ISSN":"14645327","abstract":"The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planning","type":"article","volume":"38"},"uris":["http://www.mendeley.com/documents/?uuid=6c2d2c7c-1efb-48c1-85f7-c3d419915900"]}],"mendeley":{"formattedCitation":"(E. J. Miller, 2018)","plainTextFormattedCitation":"(E. J. Miller, 2018)","previouslyFormattedCitation":"(E. J. Miller, 2018)"},"properties":{"noteIndex":0},"schema":"https://github.com/citation-style-language/schema/raw/master/csl-citation.json"}</w:instrText>
      </w:r>
      <w:r w:rsidR="00073A9E">
        <w:fldChar w:fldCharType="separate"/>
      </w:r>
      <w:r w:rsidR="004E5749" w:rsidRPr="004E5749">
        <w:rPr>
          <w:noProof/>
        </w:rPr>
        <w:t>(E. J. Miller, 2018)</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512EE669"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183336">
        <w:rPr>
          <w:rFonts w:cs="Times New Roman"/>
          <w:szCs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prism","type":"article-journal"},"uris":["http://www.mendeley.com/documents/?uuid=4b7da257-dbb2-4aa9-8252-6c2b88cc8f2e"]}],"mendeley":{"formattedCitation":"(H. J. Miller, 2017)","plainTextFormattedCitation":"(H. J. Miller, 2017)","previouslyFormattedCitation":"(H. J. Miller, 2017)"},"properties":{"noteIndex":0},"schema":"https://github.com/citation-style-language/schema/raw/master/csl-citation.json"}</w:instrText>
      </w:r>
      <w:r w:rsidR="00C91056" w:rsidRPr="12CE97DD">
        <w:rPr>
          <w:rFonts w:cs="Times New Roman"/>
          <w:szCs w:val="24"/>
        </w:rPr>
        <w:fldChar w:fldCharType="separate"/>
      </w:r>
      <w:r w:rsidR="004E5749" w:rsidRPr="004E5749">
        <w:rPr>
          <w:rFonts w:cs="Times New Roman"/>
          <w:noProof/>
          <w:szCs w:val="24"/>
        </w:rPr>
        <w:t>(H. J. Miller, 2017)</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183336">
        <w:instrText>ADDIN CSL_CITATION {"citationItems":[{"id":"ITEM-1","itemData":{"DOI":"10.1007/s10109-022-00382-w","abstract":"The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data","type":"article-journal"},"uris":["http://www.mendeley.com/documents/?uuid=5ad8e01b-bc5d-433d-a355-adf04a72c02e"]}],"mendeley":{"formattedCitation":"(Liu et al., 2022)","plainTextFormattedCitation":"(Liu et al., 2022)","previouslyFormattedCitation":"(Liu et al., 2022)"},"properties":{"noteIndex":0},"schema":"https://github.com/citation-style-language/schema/raw/master/csl-citation.json"}</w:instrText>
      </w:r>
      <w:r w:rsidR="004E5749">
        <w:fldChar w:fldCharType="separate"/>
      </w:r>
      <w:r w:rsidR="004E5749" w:rsidRPr="004E5749">
        <w:rPr>
          <w:noProof/>
        </w:rPr>
        <w:t>(Liu et al., 2022)</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4E5749"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7E8686CE"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Pr>
          <w:rFonts w:cs="Times New Roman"/>
          <w:i/>
          <w:iCs/>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Pr>
          <w:rFonts w:cs="Times New Roman"/>
          <w:i/>
          <w:iCs/>
        </w:rPr>
        <w:fldChar w:fldCharType="separate"/>
      </w:r>
      <w:r w:rsidRPr="00362D3B">
        <w:rPr>
          <w:rFonts w:cs="Times New Roman"/>
          <w:iCs/>
          <w:noProof/>
        </w:rPr>
        <w:t>(Gendreau, Ghiani, &amp; Guerriero, 2015; Wang, Yuan, Ma, &amp; Wang, 2019)</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w:t>
      </w:r>
      <w:r w:rsidR="00183336">
        <w:rPr>
          <w:rFonts w:cs="Times New Roman"/>
          <w:szCs w:val="24"/>
        </w:rPr>
        <w:lastRenderedPageBreak/>
        <w:t xml:space="preserve">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3E68DE">
        <w:rPr>
          <w:rFonts w:cs="Times New Roman"/>
          <w:szCs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183336">
        <w:rPr>
          <w:rFonts w:cs="Times New Roman"/>
          <w:szCs w:val="24"/>
        </w:rPr>
        <w:fldChar w:fldCharType="separate"/>
      </w:r>
      <w:r w:rsidR="00183336" w:rsidRPr="00183336">
        <w:rPr>
          <w:rFonts w:cs="Times New Roman"/>
          <w:noProof/>
          <w:szCs w:val="24"/>
        </w:rPr>
        <w:t>(Ahn &amp; Shin, 1991; Ichoua, Gendreau, &amp; Potvin, 2003)</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4E5749"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58DB513B"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4F7DA9">
        <w:fldChar w:fldCharType="begin" w:fldLock="1"/>
      </w:r>
      <w:r w:rsidR="004F7DA9">
        <w:instrText>ADDIN CSL_CITATION {"citationItems":[{"id":"ITEM-1","itemData":{"DOI":"10.1007/s10109-022-00382-w","abstract":"The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data","type":"article-journal"},"uris":["http://www.mendeley.com/documents/?uuid=5ad8e01b-bc5d-433d-a355-adf04a72c02e"]}],"mendeley":{"formattedCitation":"(Liu et al., 2022)","manualFormatting":"Liu et al. (2022)","plainTextFormattedCitation":"(Liu et al., 2022)","previouslyFormattedCitation":"(Liu et al., 2022)"},"properties":{"noteIndex":0},"schema":"https://github.com/citation-style-language/schema/raw/master/csl-citation.json"}</w:instrText>
      </w:r>
      <w:r w:rsidR="004F7DA9">
        <w:fldChar w:fldCharType="separate"/>
      </w:r>
      <w:r w:rsidR="004F7DA9" w:rsidRPr="003E68DE">
        <w:rPr>
          <w:noProof/>
        </w:rPr>
        <w:t xml:space="preserve">Liu et al. </w:t>
      </w:r>
      <w:r w:rsidR="004F7DA9">
        <w:rPr>
          <w:noProof/>
        </w:rPr>
        <w:t>(</w:t>
      </w:r>
      <w:r w:rsidR="004F7DA9" w:rsidRPr="003E68DE">
        <w:rPr>
          <w:noProof/>
        </w:rPr>
        <w:t>2022)</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C44C04">
        <w:instrText>ADDIN CSL_CITATION {"citationItems":[{"id":"ITEM-1","itemData":{"DOI":"10.1007/s10109-022-00382-w","abstract":"The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data","type":"article-journal"},"uris":["http://www.mendeley.com/documents/?uuid=5ad8e01b-bc5d-433d-a355-adf04a72c02e"]}],"mendeley":{"formattedCitation":"(Liu et al., 2022)","plainTextFormattedCitation":"(Liu et al., 2022)","previouslyFormattedCitation":"(Liu et al., 2022)"},"properties":{"noteIndex":0},"schema":"https://github.com/citation-style-language/schema/raw/master/csl-citation.json"}</w:instrText>
      </w:r>
      <w:r w:rsidR="004F7DA9">
        <w:fldChar w:fldCharType="separate"/>
      </w:r>
      <w:r w:rsidR="004F7DA9" w:rsidRPr="009106F1">
        <w:rPr>
          <w:noProof/>
        </w:rPr>
        <w:t>(Liu et al., 2022)</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1A5ED2"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w:t>
      </w:r>
      <w:r w:rsidRPr="003879EA">
        <w:lastRenderedPageBreak/>
        <w:t xml:space="preserve">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7880B2CD" w:rsidR="009F6B65" w:rsidRDefault="009F6B65"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3D638574"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p>
    <w:p w14:paraId="21CB4B0F" w14:textId="0F0B348D" w:rsidR="00251DF1" w:rsidRDefault="00251DF1" w:rsidP="00251DF1"/>
    <w:p w14:paraId="3BEBBE3E" w14:textId="5DEE3321" w:rsidR="00251DF1" w:rsidRDefault="00251DF1" w:rsidP="00251DF1"/>
    <w:p w14:paraId="162C5454" w14:textId="3DABDE1A" w:rsidR="00251DF1" w:rsidRDefault="00251DF1" w:rsidP="00251DF1"/>
    <w:p w14:paraId="05745F25" w14:textId="727428DE" w:rsidR="00251DF1" w:rsidRDefault="00251DF1" w:rsidP="00251DF1">
      <w:pPr>
        <w:pStyle w:val="Heading2"/>
      </w:pPr>
      <w:r>
        <w:t>Short-term Disruption: College Football Games</w:t>
      </w:r>
    </w:p>
    <w:p w14:paraId="6D50B672" w14:textId="1DD52254" w:rsidR="00796F16" w:rsidRDefault="00796F16" w:rsidP="00796F16">
      <w:r>
        <w:t>Football is a very popular sport in the US</w:t>
      </w:r>
      <w:r w:rsidR="000342A6">
        <w:t>;</w:t>
      </w:r>
      <w:r w:rsidR="00165F55">
        <w:t xml:space="preserve"> about 22 million</w:t>
      </w:r>
      <w:r w:rsidR="000342A6">
        <w:t xml:space="preserve"> viewers watch</w:t>
      </w:r>
      <w:r w:rsidR="00E73B11">
        <w:t xml:space="preserve"> the final </w:t>
      </w:r>
      <w:r w:rsidR="00990369">
        <w:t xml:space="preserve">college football </w:t>
      </w:r>
      <w:r w:rsidR="00E73B11">
        <w:t xml:space="preserve">game in 2022 </w:t>
      </w:r>
      <w:r w:rsidR="00E73B11">
        <w:fldChar w:fldCharType="begin" w:fldLock="1"/>
      </w:r>
      <w:r w:rsidR="00F519DC">
        <w:instrText>ADDIN CSL_CITATION {"citationItems":[{"id":"ITEM-1","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Ratings","type":"webpage"},"uris":["http://www.mendeley.com/documents/?uuid=f71f0f07-e84d-4cb5-aba2-dd1ea91526b7"]}],"mendeley":{"formattedCitation":"(Saul, 2022)","plainTextFormattedCitation":"(Saul, 2022)","previouslyFormattedCitation":"(Saul, 2022)"},"properties":{"noteIndex":0},"schema":"https://github.com/citation-style-language/schema/raw/master/csl-citation.json"}</w:instrText>
      </w:r>
      <w:r w:rsidR="00E73B11">
        <w:fldChar w:fldCharType="separate"/>
      </w:r>
      <w:r w:rsidR="00E73B11" w:rsidRPr="00E73B11">
        <w:rPr>
          <w:noProof/>
        </w:rPr>
        <w:t>(Saul, 2022)</w:t>
      </w:r>
      <w:r w:rsidR="00E73B11">
        <w:fldChar w:fldCharType="end"/>
      </w:r>
      <w:r>
        <w:t xml:space="preserve">. Columbus is the seat of the Ohio State University, </w:t>
      </w:r>
      <w:r w:rsidR="00E73B11">
        <w:t xml:space="preserve">whose </w:t>
      </w:r>
      <w:r>
        <w:t>football team</w:t>
      </w:r>
      <w:r w:rsidR="00165F55">
        <w:t>s</w:t>
      </w:r>
      <w:r w:rsidR="00E73B11">
        <w:t xml:space="preserve"> are among the most competitive teams</w:t>
      </w:r>
      <w:r w:rsidR="00165F55">
        <w:t xml:space="preserve">, and </w:t>
      </w:r>
      <w:r w:rsidR="00C31F2E">
        <w:t xml:space="preserve">Ohio Stadium – </w:t>
      </w:r>
      <w:r w:rsidR="00165F55">
        <w:t xml:space="preserve">one of the biggest </w:t>
      </w:r>
      <w:r w:rsidR="00E73B11">
        <w:t>stadiums</w:t>
      </w:r>
      <w:r w:rsidR="00165F55">
        <w:t xml:space="preserve"> in the US</w:t>
      </w:r>
      <w:r>
        <w:t xml:space="preserve">. </w:t>
      </w:r>
      <w:r w:rsidR="00C31F2E">
        <w:t xml:space="preserve">Ohio State gamedays includes home and away games, which are hosted in Columbus and other cities, respectively. </w:t>
      </w:r>
      <w:r w:rsidR="00F519DC">
        <w:t>Columbus hosts college football games f</w:t>
      </w:r>
      <w:r w:rsidR="00E73B11">
        <w:t>rom September to December every one or two weeks</w:t>
      </w:r>
      <w:r w:rsidR="00F519DC">
        <w:t xml:space="preserve">, which attract more than a hundred thousand viewers before the pandemic </w:t>
      </w:r>
      <w:r w:rsidR="00F519DC">
        <w:fldChar w:fldCharType="begin" w:fldLock="1"/>
      </w:r>
      <w:r w:rsidR="00F519DC">
        <w:instrText>ADDIN CSL_CITATION {"citationItems":[{"id":"ITEM-1","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1971","type":"webpage"},"uris":["http://www.mendeley.com/documents/?uuid=6c2cff81-cbc5-4aae-ac9a-c730c3919db0"]}],"mendeley":{"formattedCitation":"(Kaufman, 2021)","plainTextFormattedCitation":"(Kaufman, 2021)"},"properties":{"noteIndex":0},"schema":"https://github.com/citation-style-language/schema/raw/master/csl-citation.json"}</w:instrText>
      </w:r>
      <w:r w:rsidR="00F519DC">
        <w:fldChar w:fldCharType="separate"/>
      </w:r>
      <w:r w:rsidR="00F519DC" w:rsidRPr="00F519DC">
        <w:rPr>
          <w:noProof/>
        </w:rPr>
        <w:t>(Kaufman, 2021)</w:t>
      </w:r>
      <w:r w:rsidR="00F519DC">
        <w:fldChar w:fldCharType="end"/>
      </w:r>
      <w:r w:rsidR="00F519DC">
        <w:t xml:space="preserve">. </w:t>
      </w:r>
      <w:r w:rsidR="00C31F2E">
        <w:t>Home g</w:t>
      </w:r>
      <w:r w:rsidR="00F519DC">
        <w:t>ame</w:t>
      </w:r>
      <w:r w:rsidR="00990369">
        <w:t xml:space="preserve">s </w:t>
      </w:r>
      <w:r w:rsidR="00F519DC">
        <w:t>create high traffic around the Ohio Stadium</w:t>
      </w:r>
      <w:r w:rsidR="00C31F2E">
        <w:t>, therefore, creating a short-term disruption to the local public transit’s on-time performance and accessibility</w:t>
      </w:r>
      <w:r w:rsidR="00F519DC">
        <w:t>.</w:t>
      </w:r>
      <w:r w:rsidR="00C31F2E">
        <w:t xml:space="preserve"> Away games are also popular but far less crowded than home games. </w:t>
      </w:r>
    </w:p>
    <w:p w14:paraId="4C8AC1AC" w14:textId="4B9DD2E2" w:rsidR="00990369" w:rsidRDefault="00990369" w:rsidP="00796F16">
      <w:r>
        <w:tab/>
        <w:t xml:space="preserve">Therefore, we select </w:t>
      </w:r>
      <w:r w:rsidR="001E2860">
        <w:t xml:space="preserve">all </w:t>
      </w:r>
      <w:r w:rsidR="00B37430">
        <w:t xml:space="preserve">home and away </w:t>
      </w:r>
      <w:r w:rsidR="001E2860">
        <w:t>game days in 2018 and 2019 and calculate the accessibility unreliability</w:t>
      </w:r>
      <w:r w:rsidR="00B37430">
        <w:t xml:space="preserve"> respectively. </w:t>
      </w:r>
    </w:p>
    <w:p w14:paraId="5B51F69A" w14:textId="203E3FA7" w:rsidR="00990369" w:rsidRDefault="00990369" w:rsidP="00796F16">
      <w:r>
        <w:tab/>
      </w:r>
    </w:p>
    <w:p w14:paraId="671DFECC" w14:textId="36C3D80D" w:rsidR="00C31F2E" w:rsidRPr="00796F16" w:rsidRDefault="00C31F2E" w:rsidP="00796F16">
      <w:r>
        <w:tab/>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D98A" w14:textId="77777777" w:rsidR="00FD58C5" w:rsidRDefault="00FD58C5" w:rsidP="0077361B">
      <w:pPr>
        <w:spacing w:after="0" w:line="240" w:lineRule="auto"/>
      </w:pPr>
      <w:r>
        <w:separator/>
      </w:r>
    </w:p>
  </w:endnote>
  <w:endnote w:type="continuationSeparator" w:id="0">
    <w:p w14:paraId="7BBA3910" w14:textId="77777777" w:rsidR="00FD58C5" w:rsidRDefault="00FD58C5"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62EA" w14:textId="77777777" w:rsidR="00FD58C5" w:rsidRDefault="00FD58C5" w:rsidP="0077361B">
      <w:pPr>
        <w:spacing w:after="0" w:line="240" w:lineRule="auto"/>
      </w:pPr>
      <w:r>
        <w:separator/>
      </w:r>
    </w:p>
  </w:footnote>
  <w:footnote w:type="continuationSeparator" w:id="0">
    <w:p w14:paraId="738FB645" w14:textId="77777777" w:rsidR="00FD58C5" w:rsidRDefault="00FD58C5"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342A6"/>
    <w:rsid w:val="00072BE2"/>
    <w:rsid w:val="00073A9E"/>
    <w:rsid w:val="00081560"/>
    <w:rsid w:val="00091347"/>
    <w:rsid w:val="000D033D"/>
    <w:rsid w:val="000D5E40"/>
    <w:rsid w:val="00107DCC"/>
    <w:rsid w:val="001535A6"/>
    <w:rsid w:val="00165F55"/>
    <w:rsid w:val="00183336"/>
    <w:rsid w:val="00195C60"/>
    <w:rsid w:val="001A1097"/>
    <w:rsid w:val="001A17A6"/>
    <w:rsid w:val="001A5ED2"/>
    <w:rsid w:val="001E2860"/>
    <w:rsid w:val="001F11C3"/>
    <w:rsid w:val="00203064"/>
    <w:rsid w:val="002213A2"/>
    <w:rsid w:val="00226AAF"/>
    <w:rsid w:val="00234E18"/>
    <w:rsid w:val="0023536C"/>
    <w:rsid w:val="00235826"/>
    <w:rsid w:val="00251DF1"/>
    <w:rsid w:val="002601E2"/>
    <w:rsid w:val="00277963"/>
    <w:rsid w:val="00280764"/>
    <w:rsid w:val="00287843"/>
    <w:rsid w:val="002C3CFC"/>
    <w:rsid w:val="002C79B2"/>
    <w:rsid w:val="002D20EE"/>
    <w:rsid w:val="002D3847"/>
    <w:rsid w:val="002D5B94"/>
    <w:rsid w:val="00304133"/>
    <w:rsid w:val="0031348F"/>
    <w:rsid w:val="00355B69"/>
    <w:rsid w:val="00371995"/>
    <w:rsid w:val="00383F63"/>
    <w:rsid w:val="003879EA"/>
    <w:rsid w:val="003975AD"/>
    <w:rsid w:val="003C64C5"/>
    <w:rsid w:val="003D045B"/>
    <w:rsid w:val="003E5A6B"/>
    <w:rsid w:val="003E68DE"/>
    <w:rsid w:val="004072FD"/>
    <w:rsid w:val="004436E5"/>
    <w:rsid w:val="00474911"/>
    <w:rsid w:val="00482880"/>
    <w:rsid w:val="004857FA"/>
    <w:rsid w:val="004865DD"/>
    <w:rsid w:val="00490858"/>
    <w:rsid w:val="004D1DD6"/>
    <w:rsid w:val="004D32BF"/>
    <w:rsid w:val="004E5749"/>
    <w:rsid w:val="004E5F6E"/>
    <w:rsid w:val="004E614D"/>
    <w:rsid w:val="004F7DA9"/>
    <w:rsid w:val="005075A4"/>
    <w:rsid w:val="00511EA8"/>
    <w:rsid w:val="005457AC"/>
    <w:rsid w:val="005559F9"/>
    <w:rsid w:val="005761D9"/>
    <w:rsid w:val="005E52FD"/>
    <w:rsid w:val="006038CE"/>
    <w:rsid w:val="00612B4A"/>
    <w:rsid w:val="00614A6C"/>
    <w:rsid w:val="006360EA"/>
    <w:rsid w:val="0063618F"/>
    <w:rsid w:val="00637819"/>
    <w:rsid w:val="006919B3"/>
    <w:rsid w:val="006D4906"/>
    <w:rsid w:val="006F5A8B"/>
    <w:rsid w:val="007037CB"/>
    <w:rsid w:val="00732973"/>
    <w:rsid w:val="00762F50"/>
    <w:rsid w:val="00766064"/>
    <w:rsid w:val="0077361B"/>
    <w:rsid w:val="007800F6"/>
    <w:rsid w:val="00796F16"/>
    <w:rsid w:val="007C2C64"/>
    <w:rsid w:val="007F05D0"/>
    <w:rsid w:val="00807E5A"/>
    <w:rsid w:val="008201C2"/>
    <w:rsid w:val="008343AE"/>
    <w:rsid w:val="008672BE"/>
    <w:rsid w:val="00870DD2"/>
    <w:rsid w:val="00872C93"/>
    <w:rsid w:val="008A6B87"/>
    <w:rsid w:val="008A75AD"/>
    <w:rsid w:val="008C543B"/>
    <w:rsid w:val="008C582C"/>
    <w:rsid w:val="009106F1"/>
    <w:rsid w:val="0091478C"/>
    <w:rsid w:val="00917B56"/>
    <w:rsid w:val="00931D5B"/>
    <w:rsid w:val="0094605B"/>
    <w:rsid w:val="00963B85"/>
    <w:rsid w:val="00967CA9"/>
    <w:rsid w:val="00977341"/>
    <w:rsid w:val="0098031B"/>
    <w:rsid w:val="00982540"/>
    <w:rsid w:val="00990369"/>
    <w:rsid w:val="009D5FE9"/>
    <w:rsid w:val="009F6B65"/>
    <w:rsid w:val="00A20C55"/>
    <w:rsid w:val="00A47A28"/>
    <w:rsid w:val="00A51A4B"/>
    <w:rsid w:val="00A77126"/>
    <w:rsid w:val="00A81E61"/>
    <w:rsid w:val="00A829D0"/>
    <w:rsid w:val="00A90BF7"/>
    <w:rsid w:val="00A9124D"/>
    <w:rsid w:val="00AA0F5A"/>
    <w:rsid w:val="00AB026D"/>
    <w:rsid w:val="00AB3EAF"/>
    <w:rsid w:val="00AC4FF1"/>
    <w:rsid w:val="00AD78DE"/>
    <w:rsid w:val="00B37430"/>
    <w:rsid w:val="00B41493"/>
    <w:rsid w:val="00B46EF3"/>
    <w:rsid w:val="00B508F1"/>
    <w:rsid w:val="00B627E2"/>
    <w:rsid w:val="00B718EF"/>
    <w:rsid w:val="00BB35D5"/>
    <w:rsid w:val="00BB3CDD"/>
    <w:rsid w:val="00BC1444"/>
    <w:rsid w:val="00C253D1"/>
    <w:rsid w:val="00C31F2E"/>
    <w:rsid w:val="00C44C04"/>
    <w:rsid w:val="00C45567"/>
    <w:rsid w:val="00C64D5C"/>
    <w:rsid w:val="00C76238"/>
    <w:rsid w:val="00C91056"/>
    <w:rsid w:val="00CE3B95"/>
    <w:rsid w:val="00CE7D3D"/>
    <w:rsid w:val="00CF2B71"/>
    <w:rsid w:val="00CF4C5C"/>
    <w:rsid w:val="00DB5D76"/>
    <w:rsid w:val="00DD012F"/>
    <w:rsid w:val="00DD7931"/>
    <w:rsid w:val="00E00A7F"/>
    <w:rsid w:val="00E10A7A"/>
    <w:rsid w:val="00E11D21"/>
    <w:rsid w:val="00E73B11"/>
    <w:rsid w:val="00EB4104"/>
    <w:rsid w:val="00F06D26"/>
    <w:rsid w:val="00F519DC"/>
    <w:rsid w:val="00F60174"/>
    <w:rsid w:val="00F75C95"/>
    <w:rsid w:val="00F77EBB"/>
    <w:rsid w:val="00F82099"/>
    <w:rsid w:val="00FA6D0C"/>
    <w:rsid w:val="00FB7621"/>
    <w:rsid w:val="00FD438E"/>
    <w:rsid w:val="00FD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3515</TotalTime>
  <Pages>5</Pages>
  <Words>5876</Words>
  <Characters>33496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49</cp:revision>
  <dcterms:created xsi:type="dcterms:W3CDTF">2022-06-22T16:17:00Z</dcterms:created>
  <dcterms:modified xsi:type="dcterms:W3CDTF">2022-07-01T20:33:00Z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