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0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300"/>
      </w:tblGrid>
      <w:tr w:rsidR="004536C0" w:rsidRPr="004536C0" w:rsidTr="004536C0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t>Headings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Limit manuscript sections and sub-sections to 3 heading levels. Make sure heading levels are clearly indicated in the manuscript text.</w:t>
            </w:r>
          </w:p>
        </w:tc>
      </w:tr>
      <w:tr w:rsidR="00DC13E3" w:rsidRPr="004536C0" w:rsidTr="004536C0">
        <w:tc>
          <w:tcPr>
            <w:tcW w:w="0" w:type="auto"/>
            <w:tcBorders>
              <w:left w:val="single" w:sz="2" w:space="0" w:color="C0C0C0"/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t>Layout and spacing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2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Manuscript text should be double-spaced.</w:t>
            </w:r>
          </w:p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Do not format text in multiple columns.</w:t>
            </w:r>
          </w:p>
        </w:tc>
      </w:tr>
      <w:tr w:rsidR="00DC13E3" w:rsidRPr="004536C0" w:rsidTr="004536C0">
        <w:tc>
          <w:tcPr>
            <w:tcW w:w="0" w:type="auto"/>
            <w:tcBorders>
              <w:left w:val="single" w:sz="2" w:space="0" w:color="C0C0C0"/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br/>
              <w:t>Reference style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2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PLOS uses “Vancouver” style, as outlined in the </w:t>
            </w:r>
            <w:hyperlink r:id="rId5" w:history="1"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ICMJE sample refe</w:t>
              </w:r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r</w:t>
              </w:r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ences</w:t>
              </w:r>
            </w:hyperlink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.</w:t>
            </w:r>
          </w:p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  <w:hyperlink r:id="rId6" w:anchor="loc-references" w:history="1"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See reference formatting example</w:t>
              </w:r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>s</w:t>
              </w:r>
              <w:r w:rsidRPr="004536C0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 xml:space="preserve"> and additional instructions below</w:t>
              </w:r>
            </w:hyperlink>
            <w:r w:rsidRPr="004536C0"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  <w:t>.</w:t>
            </w:r>
          </w:p>
        </w:tc>
      </w:tr>
      <w:tr w:rsidR="00DC13E3" w:rsidRPr="004536C0" w:rsidTr="004536C0">
        <w:tc>
          <w:tcPr>
            <w:tcW w:w="0" w:type="auto"/>
            <w:tcBorders>
              <w:left w:val="single" w:sz="2" w:space="0" w:color="C0C0C0"/>
              <w:bottom w:val="single" w:sz="6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270" w:line="27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</w:pPr>
            <w:r w:rsidRPr="004536C0">
              <w:rPr>
                <w:rFonts w:ascii="Helvetica" w:eastAsia="Times New Roman" w:hAnsi="Helvetica" w:cs="Helvetica"/>
                <w:b/>
                <w:bCs/>
                <w:color w:val="202020"/>
                <w:sz w:val="27"/>
                <w:szCs w:val="27"/>
              </w:rPr>
              <w:t>Equations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2" w:space="0" w:color="C0C0C0"/>
            </w:tcBorders>
            <w:shd w:val="clear" w:color="auto" w:fill="FFFFFF"/>
            <w:hideMark/>
          </w:tcPr>
          <w:p w:rsidR="004536C0" w:rsidRPr="004536C0" w:rsidRDefault="004536C0" w:rsidP="004536C0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4"/>
                <w:szCs w:val="24"/>
              </w:rPr>
            </w:pPr>
          </w:p>
        </w:tc>
      </w:tr>
    </w:tbl>
    <w:p w:rsidR="00152690" w:rsidRDefault="0076522D"/>
    <w:p w:rsidR="00DC13E3" w:rsidRPr="004536C0" w:rsidRDefault="00DC13E3" w:rsidP="00DC13E3">
      <w:pPr>
        <w:spacing w:after="0" w:line="240" w:lineRule="auto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We recommend using </w:t>
      </w:r>
      <w:proofErr w:type="spellStart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MathType</w:t>
      </w:r>
      <w:proofErr w:type="spellEnd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 for display and inline equations, as it will provide the most reliable outcome. If this is not possible, Equation Editor or Microsoft's </w:t>
      </w:r>
      <w:proofErr w:type="spellStart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Insert→Equation</w:t>
      </w:r>
      <w:proofErr w:type="spellEnd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 function is acceptable.</w:t>
      </w:r>
      <w:bookmarkStart w:id="0" w:name="_GoBack"/>
      <w:bookmarkEnd w:id="0"/>
    </w:p>
    <w:p w:rsidR="00DC13E3" w:rsidRPr="004536C0" w:rsidRDefault="00DC13E3" w:rsidP="00DC13E3">
      <w:pPr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 xml:space="preserve">Avoid using </w:t>
      </w:r>
      <w:proofErr w:type="spellStart"/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>MathType</w:t>
      </w:r>
      <w:proofErr w:type="spellEnd"/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>, Equation Editor, or the </w:t>
      </w:r>
      <w:proofErr w:type="spellStart"/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>Insert→Equation</w:t>
      </w:r>
      <w:proofErr w:type="spellEnd"/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 xml:space="preserve"> function to insert single variables (e.g., “a² + b² = c²”), Greek or other symbols (e.g., β, Δ, or ′ [prime]), or mathematical operators (e.g., x, ≥, </w:t>
      </w:r>
      <w:proofErr w:type="gramStart"/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>or  ±</w:t>
      </w:r>
      <w:proofErr w:type="gramEnd"/>
      <w:r w:rsidRPr="004536C0">
        <w:rPr>
          <w:rFonts w:ascii="Helvetica" w:eastAsia="Times New Roman" w:hAnsi="Helvetica" w:cs="Helvetica"/>
          <w:color w:val="FF0000"/>
          <w:sz w:val="24"/>
          <w:szCs w:val="24"/>
        </w:rPr>
        <w:t>) in running text. Wherever possible, insert single symbols as normal text with the correct Unicode (hex) values.</w:t>
      </w:r>
    </w:p>
    <w:p w:rsidR="007D60AE" w:rsidRDefault="00DC13E3" w:rsidP="00DC13E3"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Do not use </w:t>
      </w:r>
      <w:proofErr w:type="spellStart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MathType</w:t>
      </w:r>
      <w:proofErr w:type="spellEnd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, Equation Editor, or the </w:t>
      </w:r>
      <w:proofErr w:type="spellStart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Insert→Equation</w:t>
      </w:r>
      <w:proofErr w:type="spellEnd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 function for only a portion of an equation. Rather, ensure that the entire equation is included. Equations should not contain a mix of different equation tools. Avoid “hybrid” inline or display equations, in which part is text and part is </w:t>
      </w:r>
      <w:proofErr w:type="spellStart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MathType</w:t>
      </w:r>
      <w:proofErr w:type="spellEnd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, or part is </w:t>
      </w:r>
      <w:proofErr w:type="spellStart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>MathType</w:t>
      </w:r>
      <w:proofErr w:type="spellEnd"/>
      <w:r w:rsidRPr="004536C0">
        <w:rPr>
          <w:rFonts w:ascii="Helvetica" w:eastAsia="Times New Roman" w:hAnsi="Helvetica" w:cs="Helvetica"/>
          <w:color w:val="202020"/>
          <w:sz w:val="24"/>
          <w:szCs w:val="24"/>
        </w:rPr>
        <w:t xml:space="preserve"> and part is Equation Editor.</w:t>
      </w:r>
    </w:p>
    <w:tbl>
      <w:tblPr>
        <w:tblW w:w="1080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9201"/>
      </w:tblGrid>
      <w:tr w:rsidR="007D60AE" w:rsidRPr="007D60AE" w:rsidTr="007D60AE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 w:rsidRPr="007D60AE"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  <w:t>Beginning section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270" w:line="270" w:lineRule="atLeast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i/>
                <w:iCs/>
                <w:color w:val="202020"/>
                <w:sz w:val="20"/>
                <w:szCs w:val="20"/>
              </w:rPr>
              <w:t>The following elements are required, in order:</w:t>
            </w:r>
          </w:p>
          <w:p w:rsidR="007D60AE" w:rsidRPr="007D60AE" w:rsidRDefault="007D60AE" w:rsidP="007D60AE">
            <w:pPr>
              <w:numPr>
                <w:ilvl w:val="0"/>
                <w:numId w:val="1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Title page: List title, authors, and affiliations as first page of manuscript</w:t>
            </w:r>
          </w:p>
          <w:p w:rsidR="007D60AE" w:rsidRPr="007D60AE" w:rsidRDefault="007D60AE" w:rsidP="007D60AE">
            <w:pPr>
              <w:numPr>
                <w:ilvl w:val="0"/>
                <w:numId w:val="1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Abstract</w:t>
            </w:r>
          </w:p>
          <w:p w:rsidR="007D60AE" w:rsidRPr="007D60AE" w:rsidRDefault="007D60AE" w:rsidP="007D60AE">
            <w:pPr>
              <w:numPr>
                <w:ilvl w:val="0"/>
                <w:numId w:val="1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Introduction</w:t>
            </w:r>
          </w:p>
        </w:tc>
      </w:tr>
      <w:tr w:rsidR="007D60AE" w:rsidRPr="007D60AE" w:rsidTr="007D60AE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 w:rsidRPr="007D60AE"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  <w:t>Middle section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270" w:line="270" w:lineRule="atLeast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i/>
                <w:iCs/>
                <w:color w:val="202020"/>
                <w:sz w:val="20"/>
                <w:szCs w:val="20"/>
              </w:rPr>
              <w:t>The following elements can be renamed as needed and presented in any order:</w:t>
            </w:r>
          </w:p>
          <w:p w:rsidR="007D60AE" w:rsidRPr="007D60AE" w:rsidRDefault="007D60AE" w:rsidP="007D60AE">
            <w:pPr>
              <w:numPr>
                <w:ilvl w:val="0"/>
                <w:numId w:val="2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Materials and Methods</w:t>
            </w:r>
          </w:p>
          <w:p w:rsidR="007D60AE" w:rsidRPr="007D60AE" w:rsidRDefault="007D60AE" w:rsidP="007D60AE">
            <w:pPr>
              <w:numPr>
                <w:ilvl w:val="0"/>
                <w:numId w:val="2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Results</w:t>
            </w:r>
          </w:p>
          <w:p w:rsidR="007D60AE" w:rsidRPr="007D60AE" w:rsidRDefault="007D60AE" w:rsidP="007D60AE">
            <w:pPr>
              <w:numPr>
                <w:ilvl w:val="0"/>
                <w:numId w:val="2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Discussion</w:t>
            </w:r>
          </w:p>
          <w:p w:rsidR="007D60AE" w:rsidRPr="007D60AE" w:rsidRDefault="007D60AE" w:rsidP="007D60AE">
            <w:pPr>
              <w:numPr>
                <w:ilvl w:val="0"/>
                <w:numId w:val="2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Conclusions (optional)</w:t>
            </w:r>
          </w:p>
        </w:tc>
      </w:tr>
      <w:tr w:rsidR="007D60AE" w:rsidRPr="007D60AE" w:rsidTr="007D60AE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 w:rsidRPr="007D60AE"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  <w:t>Ending section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270" w:line="270" w:lineRule="atLeast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i/>
                <w:iCs/>
                <w:color w:val="202020"/>
                <w:sz w:val="20"/>
                <w:szCs w:val="20"/>
              </w:rPr>
              <w:t>The following elements are required, in order:</w:t>
            </w:r>
          </w:p>
          <w:p w:rsidR="007D60AE" w:rsidRPr="007D60AE" w:rsidRDefault="007D60AE" w:rsidP="007D60AE">
            <w:pPr>
              <w:numPr>
                <w:ilvl w:val="0"/>
                <w:numId w:val="3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Acknowledgments</w:t>
            </w:r>
          </w:p>
          <w:p w:rsidR="007D60AE" w:rsidRPr="007D60AE" w:rsidRDefault="007D60AE" w:rsidP="007D60AE">
            <w:pPr>
              <w:numPr>
                <w:ilvl w:val="0"/>
                <w:numId w:val="3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References</w:t>
            </w:r>
          </w:p>
          <w:p w:rsidR="007D60AE" w:rsidRPr="007D60AE" w:rsidRDefault="007D60AE" w:rsidP="007D60AE">
            <w:pPr>
              <w:numPr>
                <w:ilvl w:val="0"/>
                <w:numId w:val="3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Supporting information captions (if applicable)</w:t>
            </w:r>
          </w:p>
        </w:tc>
      </w:tr>
      <w:tr w:rsidR="007D60AE" w:rsidRPr="007D60AE" w:rsidTr="007D60AE">
        <w:tc>
          <w:tcPr>
            <w:tcW w:w="0" w:type="auto"/>
            <w:tcBorders>
              <w:bottom w:val="nil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spacing w:after="0" w:line="240" w:lineRule="auto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 w:rsidRPr="007D60AE"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  <w:lastRenderedPageBreak/>
              <w:t>Other elements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hideMark/>
          </w:tcPr>
          <w:p w:rsidR="007D60AE" w:rsidRPr="007D60AE" w:rsidRDefault="007D60AE" w:rsidP="007D60AE">
            <w:pPr>
              <w:numPr>
                <w:ilvl w:val="0"/>
                <w:numId w:val="4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Figure captions are inserted immediately after the first paragraph in which the figure is cited. Figure files are uploaded separately.</w:t>
            </w:r>
          </w:p>
          <w:p w:rsidR="007D60AE" w:rsidRPr="007D60AE" w:rsidRDefault="007D60AE" w:rsidP="007D60AE">
            <w:pPr>
              <w:numPr>
                <w:ilvl w:val="0"/>
                <w:numId w:val="4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Tables are inserted immediately after the first paragraph in which they are cited.</w:t>
            </w:r>
          </w:p>
          <w:p w:rsidR="007D60AE" w:rsidRPr="007D60AE" w:rsidRDefault="007D60AE" w:rsidP="007D60AE">
            <w:pPr>
              <w:numPr>
                <w:ilvl w:val="0"/>
                <w:numId w:val="4"/>
              </w:numPr>
              <w:spacing w:after="135" w:line="240" w:lineRule="auto"/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</w:pPr>
            <w:r w:rsidRPr="007D60AE">
              <w:rPr>
                <w:rFonts w:ascii="inherit" w:eastAsia="Times New Roman" w:hAnsi="inherit" w:cs="Helvetica"/>
                <w:color w:val="202020"/>
                <w:sz w:val="20"/>
                <w:szCs w:val="20"/>
              </w:rPr>
              <w:t>Supporting information files are uploaded separately.</w:t>
            </w:r>
          </w:p>
        </w:tc>
      </w:tr>
    </w:tbl>
    <w:p w:rsidR="007D60AE" w:rsidRDefault="007D60AE"/>
    <w:p w:rsidR="007D60AE" w:rsidRDefault="007D60AE"/>
    <w:p w:rsidR="007D60AE" w:rsidRDefault="007D60AE" w:rsidP="007D60AE">
      <w:pPr>
        <w:pStyle w:val="Heading3"/>
        <w:shd w:val="clear" w:color="auto" w:fill="FFFFFF"/>
        <w:spacing w:before="0" w:beforeAutospacing="0" w:after="270" w:afterAutospacing="0" w:line="270" w:lineRule="atLeast"/>
        <w:rPr>
          <w:rFonts w:ascii="Helvetica" w:hAnsi="Helvetica" w:cs="Helvetica"/>
          <w:color w:val="202020"/>
        </w:rPr>
      </w:pPr>
      <w:r>
        <w:rPr>
          <w:rFonts w:ascii="Helvetica" w:hAnsi="Helvetica" w:cs="Helvetica"/>
          <w:color w:val="202020"/>
        </w:rPr>
        <w:t>Title</w:t>
      </w:r>
    </w:p>
    <w:p w:rsidR="007D60AE" w:rsidRDefault="007D60AE" w:rsidP="007D60AE">
      <w:pPr>
        <w:pStyle w:val="NormalWeb"/>
        <w:shd w:val="clear" w:color="auto" w:fill="FFFFFF"/>
        <w:spacing w:before="0" w:beforeAutospacing="0" w:after="270" w:afterAutospacing="0" w:line="270" w:lineRule="atLeast"/>
        <w:rPr>
          <w:rFonts w:ascii="Arial" w:hAnsi="Arial" w:cs="Arial"/>
          <w:color w:val="202020"/>
          <w:sz w:val="20"/>
          <w:szCs w:val="20"/>
        </w:rPr>
      </w:pPr>
      <w:r>
        <w:rPr>
          <w:rFonts w:ascii="Arial" w:hAnsi="Arial" w:cs="Arial"/>
          <w:color w:val="202020"/>
          <w:sz w:val="20"/>
          <w:szCs w:val="20"/>
        </w:rPr>
        <w:t>Include a full title and a short title for the manuscript.</w:t>
      </w:r>
    </w:p>
    <w:tbl>
      <w:tblPr>
        <w:tblW w:w="1080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127"/>
        <w:gridCol w:w="3789"/>
        <w:gridCol w:w="5181"/>
      </w:tblGrid>
      <w:tr w:rsidR="007D60AE" w:rsidTr="007D60AE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rFonts w:ascii="Times New Roman" w:hAnsi="Times New Roman" w:cs="Times New Roman"/>
                <w:color w:val="202020"/>
                <w:sz w:val="24"/>
                <w:szCs w:val="24"/>
              </w:rPr>
            </w:pPr>
            <w:r>
              <w:rPr>
                <w:rStyle w:val="Strong"/>
                <w:color w:val="202020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rStyle w:val="Strong"/>
                <w:color w:val="2020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rStyle w:val="Strong"/>
                <w:color w:val="202020"/>
              </w:rPr>
              <w:t>Guidelines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rStyle w:val="Strong"/>
                <w:color w:val="202020"/>
              </w:rPr>
              <w:t>Examples</w:t>
            </w:r>
          </w:p>
        </w:tc>
      </w:tr>
      <w:tr w:rsidR="007D60AE" w:rsidTr="007D60AE"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rStyle w:val="Strong"/>
                <w:color w:val="202020"/>
              </w:rPr>
              <w:t>Full title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color w:val="202020"/>
              </w:rPr>
              <w:t>250 characters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color w:val="202020"/>
              </w:rPr>
              <w:t>Specific, descriptive, concise, and comprehensible to readers outside the field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FFFFF"/>
            <w:hideMark/>
          </w:tcPr>
          <w:p w:rsidR="007D60AE" w:rsidRDefault="007D60AE">
            <w:pPr>
              <w:pStyle w:val="NormalWeb"/>
              <w:spacing w:before="0" w:beforeAutospacing="0" w:after="270" w:afterAutospacing="0" w:line="270" w:lineRule="atLeast"/>
              <w:rPr>
                <w:rFonts w:ascii="inherit" w:hAnsi="inherit"/>
                <w:color w:val="202020"/>
                <w:sz w:val="20"/>
                <w:szCs w:val="20"/>
              </w:rPr>
            </w:pPr>
            <w:r>
              <w:rPr>
                <w:rFonts w:ascii="inherit" w:hAnsi="inherit"/>
                <w:color w:val="202020"/>
                <w:sz w:val="20"/>
                <w:szCs w:val="20"/>
              </w:rPr>
              <w:t>Impact of cigarette smoke exposure on innate immunity: A </w:t>
            </w:r>
            <w:proofErr w:type="spellStart"/>
            <w:r>
              <w:rPr>
                <w:rStyle w:val="Emphasis"/>
                <w:rFonts w:ascii="inherit" w:hAnsi="inherit"/>
                <w:color w:val="202020"/>
                <w:sz w:val="20"/>
                <w:szCs w:val="20"/>
              </w:rPr>
              <w:t>Caenorhabditis</w:t>
            </w:r>
            <w:proofErr w:type="spellEnd"/>
            <w:r>
              <w:rPr>
                <w:rStyle w:val="Emphasis"/>
                <w:rFonts w:ascii="inherit" w:hAnsi="inherit"/>
                <w:color w:val="20202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Emphasis"/>
                <w:rFonts w:ascii="inherit" w:hAnsi="inherit"/>
                <w:color w:val="202020"/>
                <w:sz w:val="20"/>
                <w:szCs w:val="20"/>
              </w:rPr>
              <w:t>elegans</w:t>
            </w:r>
            <w:proofErr w:type="spellEnd"/>
            <w:r>
              <w:rPr>
                <w:rFonts w:ascii="inherit" w:hAnsi="inherit"/>
                <w:color w:val="202020"/>
                <w:sz w:val="20"/>
                <w:szCs w:val="20"/>
              </w:rPr>
              <w:t> model</w:t>
            </w:r>
          </w:p>
          <w:p w:rsidR="007D60AE" w:rsidRDefault="007D60AE">
            <w:pPr>
              <w:pStyle w:val="NormalWeb"/>
              <w:spacing w:before="0" w:beforeAutospacing="0" w:after="270" w:afterAutospacing="0" w:line="270" w:lineRule="atLeast"/>
              <w:rPr>
                <w:rFonts w:ascii="inherit" w:hAnsi="inherit"/>
                <w:color w:val="202020"/>
                <w:sz w:val="20"/>
                <w:szCs w:val="20"/>
              </w:rPr>
            </w:pPr>
            <w:r>
              <w:rPr>
                <w:rFonts w:ascii="inherit" w:hAnsi="inherit"/>
                <w:color w:val="202020"/>
                <w:sz w:val="20"/>
                <w:szCs w:val="20"/>
              </w:rPr>
              <w:t xml:space="preserve">Solar drinking water disinfection (SODIS) to reduce childhood </w:t>
            </w:r>
            <w:proofErr w:type="spellStart"/>
            <w:r>
              <w:rPr>
                <w:rFonts w:ascii="inherit" w:hAnsi="inherit"/>
                <w:color w:val="202020"/>
                <w:sz w:val="20"/>
                <w:szCs w:val="20"/>
              </w:rPr>
              <w:t>diarrhoea</w:t>
            </w:r>
            <w:proofErr w:type="spellEnd"/>
            <w:r>
              <w:rPr>
                <w:rFonts w:ascii="inherit" w:hAnsi="inherit"/>
                <w:color w:val="202020"/>
                <w:sz w:val="20"/>
                <w:szCs w:val="20"/>
              </w:rPr>
              <w:t xml:space="preserve"> in rural Bolivia: A cluster-randomized, controlled trial</w:t>
            </w:r>
          </w:p>
        </w:tc>
      </w:tr>
      <w:tr w:rsidR="007D60AE" w:rsidTr="007D60AE">
        <w:tc>
          <w:tcPr>
            <w:tcW w:w="0" w:type="auto"/>
            <w:tcBorders>
              <w:bottom w:val="nil"/>
            </w:tcBorders>
            <w:shd w:val="clear" w:color="auto" w:fill="FFFFFF"/>
            <w:hideMark/>
          </w:tcPr>
          <w:p w:rsidR="007D60AE" w:rsidRDefault="007D60AE">
            <w:pPr>
              <w:rPr>
                <w:rFonts w:ascii="Times New Roman" w:hAnsi="Times New Roman"/>
                <w:color w:val="202020"/>
                <w:sz w:val="24"/>
                <w:szCs w:val="24"/>
              </w:rPr>
            </w:pPr>
            <w:r>
              <w:rPr>
                <w:rStyle w:val="Strong"/>
                <w:color w:val="202020"/>
              </w:rPr>
              <w:t>Short title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color w:val="202020"/>
              </w:rPr>
              <w:t>100 characters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hideMark/>
          </w:tcPr>
          <w:p w:rsidR="007D60AE" w:rsidRDefault="007D60AE">
            <w:pPr>
              <w:rPr>
                <w:color w:val="202020"/>
              </w:rPr>
            </w:pPr>
            <w:r>
              <w:rPr>
                <w:color w:val="202020"/>
              </w:rPr>
              <w:t>State the topic of the study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7D60AE" w:rsidRDefault="007D60AE">
            <w:pPr>
              <w:pStyle w:val="NormalWeb"/>
              <w:spacing w:before="0" w:beforeAutospacing="0" w:after="270" w:afterAutospacing="0" w:line="270" w:lineRule="atLeast"/>
              <w:rPr>
                <w:rFonts w:ascii="inherit" w:hAnsi="inherit"/>
                <w:color w:val="202020"/>
                <w:sz w:val="20"/>
                <w:szCs w:val="20"/>
              </w:rPr>
            </w:pPr>
            <w:r>
              <w:rPr>
                <w:rFonts w:ascii="inherit" w:hAnsi="inherit"/>
                <w:color w:val="202020"/>
                <w:sz w:val="20"/>
                <w:szCs w:val="20"/>
              </w:rPr>
              <w:t>Cigarette smoke exposure and innate immunity</w:t>
            </w:r>
          </w:p>
          <w:p w:rsidR="007D60AE" w:rsidRDefault="007D60AE">
            <w:pPr>
              <w:rPr>
                <w:rFonts w:ascii="Times New Roman" w:hAnsi="Times New Roman"/>
                <w:color w:val="202020"/>
                <w:sz w:val="24"/>
                <w:szCs w:val="24"/>
              </w:rPr>
            </w:pPr>
            <w:r>
              <w:rPr>
                <w:color w:val="202020"/>
              </w:rPr>
              <w:t xml:space="preserve">SODIS and childhood </w:t>
            </w:r>
            <w:proofErr w:type="spellStart"/>
            <w:r>
              <w:rPr>
                <w:color w:val="202020"/>
              </w:rPr>
              <w:t>diarrhoea</w:t>
            </w:r>
            <w:proofErr w:type="spellEnd"/>
          </w:p>
        </w:tc>
      </w:tr>
    </w:tbl>
    <w:p w:rsidR="007D60AE" w:rsidRDefault="007D60AE"/>
    <w:p w:rsidR="007D60AE" w:rsidRDefault="007D60AE"/>
    <w:p w:rsidR="007D60AE" w:rsidRDefault="007D60AE"/>
    <w:sectPr w:rsidR="007D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D7F"/>
    <w:multiLevelType w:val="multilevel"/>
    <w:tmpl w:val="776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669F2"/>
    <w:multiLevelType w:val="multilevel"/>
    <w:tmpl w:val="735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95AF9"/>
    <w:multiLevelType w:val="multilevel"/>
    <w:tmpl w:val="846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340D6"/>
    <w:multiLevelType w:val="multilevel"/>
    <w:tmpl w:val="124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3E"/>
    <w:rsid w:val="00075952"/>
    <w:rsid w:val="004536C0"/>
    <w:rsid w:val="005254FE"/>
    <w:rsid w:val="0076522D"/>
    <w:rsid w:val="007D60AE"/>
    <w:rsid w:val="00B56A1C"/>
    <w:rsid w:val="00CE1C3E"/>
    <w:rsid w:val="00DC13E3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3F86"/>
  <w15:chartTrackingRefBased/>
  <w15:docId w15:val="{445C58CA-DE43-4F46-A0B3-E1FB850A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6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36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60AE"/>
    <w:rPr>
      <w:b/>
      <w:bCs/>
    </w:rPr>
  </w:style>
  <w:style w:type="character" w:styleId="Emphasis">
    <w:name w:val="Emphasis"/>
    <w:basedOn w:val="DefaultParagraphFont"/>
    <w:uiPriority w:val="20"/>
    <w:qFormat/>
    <w:rsid w:val="007D60A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1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s/submission-guidelines" TargetMode="External"/><Relationship Id="rId5" Type="http://schemas.openxmlformats.org/officeDocument/2006/relationships/hyperlink" Target="http://www.nlm.nih.gov/bsd/uniform_require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</cp:revision>
  <dcterms:created xsi:type="dcterms:W3CDTF">2020-05-29T15:03:00Z</dcterms:created>
  <dcterms:modified xsi:type="dcterms:W3CDTF">2020-05-30T19:03:00Z</dcterms:modified>
</cp:coreProperties>
</file>