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40B" w:rsidRPr="002E26CE" w:rsidRDefault="0003740B" w:rsidP="0003740B">
      <w:pPr>
        <w:jc w:val="center"/>
        <w:rPr>
          <w:rFonts w:eastAsia="Times New Roman"/>
          <w:color w:val="000000" w:themeColor="text1"/>
          <w:sz w:val="32"/>
          <w:szCs w:val="22"/>
        </w:rPr>
      </w:pPr>
      <w:r w:rsidRPr="002E26CE">
        <w:rPr>
          <w:rFonts w:eastAsia="Times New Roman"/>
          <w:color w:val="000000" w:themeColor="text1"/>
          <w:sz w:val="32"/>
          <w:szCs w:val="22"/>
        </w:rPr>
        <w:t>Amendment letter</w:t>
      </w:r>
    </w:p>
    <w:p w:rsidR="0003740B" w:rsidRDefault="0003740B" w:rsidP="0003740B">
      <w:pPr>
        <w:jc w:val="center"/>
      </w:pPr>
    </w:p>
    <w:p w:rsidR="0003740B" w:rsidRDefault="0003740B" w:rsidP="0003740B">
      <w:pPr>
        <w:jc w:val="center"/>
      </w:pPr>
      <w:r>
        <w:t>Luyu Liu and Harvey J. Miller</w:t>
      </w:r>
      <w:r>
        <w:rPr>
          <w:vertAlign w:val="superscript"/>
        </w:rPr>
        <w:t xml:space="preserve"> </w:t>
      </w:r>
      <w:r w:rsidRPr="00E034F0">
        <w:rPr>
          <w:rStyle w:val="FootnoteReference"/>
        </w:rPr>
        <w:footnoteReference w:customMarkFollows="1" w:id="1"/>
        <w:t>*</w:t>
      </w:r>
    </w:p>
    <w:p w:rsidR="0003740B" w:rsidRDefault="0003740B" w:rsidP="0003740B">
      <w:pPr>
        <w:jc w:val="center"/>
      </w:pPr>
      <w:r>
        <w:t>Department of Geography and Center for Urban and Regional Analysis</w:t>
      </w:r>
    </w:p>
    <w:p w:rsidR="0003740B" w:rsidRPr="00DD78D2" w:rsidRDefault="0003740B" w:rsidP="0003740B">
      <w:pPr>
        <w:jc w:val="center"/>
        <w:rPr>
          <w:b/>
        </w:rPr>
      </w:pPr>
      <w:r>
        <w:t>The Ohio State University, Columbus, Ohio, USA</w:t>
      </w:r>
    </w:p>
    <w:p w:rsidR="0003740B" w:rsidRDefault="0003740B" w:rsidP="0003740B">
      <w:pPr>
        <w:rPr>
          <w:rFonts w:eastAsia="Times New Roman"/>
          <w:color w:val="000000" w:themeColor="text1"/>
          <w:szCs w:val="22"/>
        </w:rPr>
      </w:pPr>
    </w:p>
    <w:p w:rsidR="0003740B" w:rsidRDefault="0003740B" w:rsidP="0003740B">
      <w:pPr>
        <w:rPr>
          <w:rFonts w:eastAsia="Times New Roman"/>
          <w:color w:val="000000" w:themeColor="text1"/>
          <w:szCs w:val="22"/>
        </w:rPr>
      </w:pPr>
      <w:r>
        <w:rPr>
          <w:rFonts w:eastAsia="Times New Roman"/>
          <w:color w:val="000000" w:themeColor="text1"/>
          <w:szCs w:val="22"/>
        </w:rPr>
        <w:t xml:space="preserve">We really appreciate </w:t>
      </w:r>
      <w:r w:rsidR="00322739">
        <w:rPr>
          <w:rFonts w:eastAsia="Times New Roman"/>
          <w:color w:val="000000" w:themeColor="text1"/>
          <w:szCs w:val="22"/>
        </w:rPr>
        <w:t>more</w:t>
      </w:r>
      <w:r>
        <w:rPr>
          <w:rFonts w:eastAsia="Times New Roman"/>
          <w:color w:val="000000" w:themeColor="text1"/>
          <w:szCs w:val="22"/>
        </w:rPr>
        <w:t xml:space="preserve"> useful comments from reviewer 1 and we are also glad to see we solved all the questions </w:t>
      </w:r>
      <w:r w:rsidR="00322739">
        <w:rPr>
          <w:rFonts w:eastAsia="Times New Roman"/>
          <w:color w:val="000000" w:themeColor="text1"/>
          <w:szCs w:val="22"/>
        </w:rPr>
        <w:t xml:space="preserve">from </w:t>
      </w:r>
      <w:r>
        <w:rPr>
          <w:rFonts w:eastAsia="Times New Roman"/>
          <w:color w:val="000000" w:themeColor="text1"/>
          <w:szCs w:val="22"/>
        </w:rPr>
        <w:t xml:space="preserve">reviewer 2. In the following paragraphs, we will thoroughly respond </w:t>
      </w:r>
      <w:r w:rsidR="00ED6522">
        <w:rPr>
          <w:rFonts w:eastAsia="Times New Roman"/>
          <w:color w:val="000000" w:themeColor="text1"/>
          <w:szCs w:val="22"/>
        </w:rPr>
        <w:t xml:space="preserve">the new </w:t>
      </w:r>
      <w:r>
        <w:rPr>
          <w:rFonts w:eastAsia="Times New Roman"/>
          <w:color w:val="000000" w:themeColor="text1"/>
          <w:szCs w:val="22"/>
        </w:rPr>
        <w:t>comment</w:t>
      </w:r>
      <w:r w:rsidR="00ED6522">
        <w:rPr>
          <w:rFonts w:eastAsia="Times New Roman"/>
          <w:color w:val="000000" w:themeColor="text1"/>
          <w:szCs w:val="22"/>
        </w:rPr>
        <w:t>s</w:t>
      </w:r>
      <w:r>
        <w:rPr>
          <w:rFonts w:eastAsia="Times New Roman"/>
          <w:color w:val="000000" w:themeColor="text1"/>
          <w:szCs w:val="22"/>
        </w:rPr>
        <w:t xml:space="preserve"> and question</w:t>
      </w:r>
      <w:r w:rsidR="00ED6522">
        <w:rPr>
          <w:rFonts w:eastAsia="Times New Roman"/>
          <w:color w:val="000000" w:themeColor="text1"/>
          <w:szCs w:val="22"/>
        </w:rPr>
        <w:t>s</w:t>
      </w:r>
      <w:r>
        <w:rPr>
          <w:rFonts w:eastAsia="Times New Roman"/>
          <w:color w:val="000000" w:themeColor="text1"/>
          <w:szCs w:val="22"/>
        </w:rPr>
        <w:t xml:space="preserve">. </w:t>
      </w:r>
    </w:p>
    <w:p w:rsidR="00B774FC" w:rsidRDefault="00B774FC" w:rsidP="00B774FC">
      <w:pPr>
        <w:rPr>
          <w:rStyle w:val="Strong"/>
        </w:rPr>
      </w:pPr>
    </w:p>
    <w:p w:rsidR="0003740B" w:rsidRDefault="00B774FC" w:rsidP="00B774FC">
      <w:r>
        <w:br/>
      </w:r>
      <w:r>
        <w:br/>
      </w:r>
      <w:r>
        <w:rPr>
          <w:rStyle w:val="Strong"/>
        </w:rPr>
        <w:t>Reviewer 1</w:t>
      </w:r>
      <w:r>
        <w:br/>
      </w:r>
      <w:r>
        <w:br/>
        <w:t>The authors have addressed all of my comments. The contribution of the paper is now more clearly articulated. I think, some minor improvements could be made to further enhance links with the journal’s themes.</w:t>
      </w:r>
      <w:r>
        <w:br/>
      </w:r>
    </w:p>
    <w:p w:rsidR="00160EE0" w:rsidRDefault="00B774FC" w:rsidP="0073428A">
      <w:pPr>
        <w:pStyle w:val="ListParagraph"/>
        <w:numPr>
          <w:ilvl w:val="0"/>
          <w:numId w:val="1"/>
        </w:numPr>
      </w:pPr>
      <w:r>
        <w:t xml:space="preserve">The distinction between non-real time (or static) and real-time measures offers an interesting angle. I wonder if authors could expand on this further, also to highlight how these new data sources are transforming the urban transport sector, and what opportunities, obstacles and challenges this entails. </w:t>
      </w:r>
    </w:p>
    <w:p w:rsidR="00160EE0" w:rsidRDefault="00160EE0" w:rsidP="00160EE0">
      <w:pPr>
        <w:pStyle w:val="ListParagraph"/>
        <w:ind w:left="0"/>
      </w:pPr>
    </w:p>
    <w:p w:rsidR="00A372E0" w:rsidRPr="00316BD5" w:rsidRDefault="00316BD5" w:rsidP="00160EE0">
      <w:pPr>
        <w:pStyle w:val="ListParagraph"/>
        <w:ind w:left="0"/>
        <w:rPr>
          <w:color w:val="4472C4" w:themeColor="accent5"/>
        </w:rPr>
      </w:pPr>
      <w:r>
        <w:rPr>
          <w:color w:val="4472C4" w:themeColor="accent5"/>
        </w:rPr>
        <w:t xml:space="preserve">Response: </w:t>
      </w:r>
      <w:r w:rsidR="00A372E0" w:rsidRPr="00316BD5">
        <w:rPr>
          <w:color w:val="4472C4" w:themeColor="accent5"/>
        </w:rPr>
        <w:t xml:space="preserve">Real-time measures, or measures/data sources with higher temporal accuracy, have many advantages over their counterparts with lower temporal accuracy. We listed </w:t>
      </w:r>
      <w:r w:rsidR="006353BE" w:rsidRPr="00316BD5">
        <w:rPr>
          <w:color w:val="4472C4" w:themeColor="accent5"/>
        </w:rPr>
        <w:t>two</w:t>
      </w:r>
      <w:r w:rsidR="00A372E0" w:rsidRPr="00316BD5">
        <w:rPr>
          <w:color w:val="4472C4" w:themeColor="accent5"/>
        </w:rPr>
        <w:t xml:space="preserve"> most prominent points</w:t>
      </w:r>
      <w:r w:rsidR="002154E4" w:rsidRPr="00316BD5">
        <w:rPr>
          <w:color w:val="4472C4" w:themeColor="accent5"/>
        </w:rPr>
        <w:t xml:space="preserve"> and incorporate them into section 2.2, subsection “Real-time measures”, paragraph 2</w:t>
      </w:r>
      <w:r w:rsidR="00A372E0" w:rsidRPr="00316BD5">
        <w:rPr>
          <w:color w:val="4472C4" w:themeColor="accent5"/>
        </w:rPr>
        <w:t>:</w:t>
      </w:r>
    </w:p>
    <w:p w:rsidR="00097435" w:rsidRPr="00316BD5" w:rsidRDefault="00097435" w:rsidP="00A372E0">
      <w:pPr>
        <w:pStyle w:val="ListParagraph"/>
        <w:numPr>
          <w:ilvl w:val="0"/>
          <w:numId w:val="2"/>
        </w:numPr>
        <w:rPr>
          <w:color w:val="4472C4" w:themeColor="accent5"/>
        </w:rPr>
      </w:pPr>
      <w:r w:rsidRPr="00316BD5">
        <w:rPr>
          <w:color w:val="4472C4" w:themeColor="accent5"/>
        </w:rPr>
        <w:t>The measured time is closer to the actual time. This is very important when it comes to temporal analysis</w:t>
      </w:r>
      <w:r w:rsidR="00A13C23" w:rsidRPr="00316BD5">
        <w:rPr>
          <w:color w:val="4472C4" w:themeColor="accent5"/>
        </w:rPr>
        <w:t>.</w:t>
      </w:r>
      <w:r w:rsidR="0024122F" w:rsidRPr="00316BD5">
        <w:rPr>
          <w:color w:val="4472C4" w:themeColor="accent5"/>
        </w:rPr>
        <w:t xml:space="preserve"> If the recorded time is not the actual time or has large difference, the results can </w:t>
      </w:r>
      <w:r w:rsidR="00F55C93" w:rsidRPr="00316BD5">
        <w:rPr>
          <w:color w:val="4472C4" w:themeColor="accent5"/>
        </w:rPr>
        <w:t xml:space="preserve">have </w:t>
      </w:r>
      <w:r w:rsidR="00BF1073" w:rsidRPr="00316BD5">
        <w:rPr>
          <w:color w:val="4472C4" w:themeColor="accent5"/>
        </w:rPr>
        <w:t xml:space="preserve">considerable </w:t>
      </w:r>
      <w:r w:rsidR="0024122F" w:rsidRPr="00316BD5">
        <w:rPr>
          <w:color w:val="4472C4" w:themeColor="accent5"/>
        </w:rPr>
        <w:t>systematic error during the analysis.</w:t>
      </w:r>
    </w:p>
    <w:p w:rsidR="00A372E0" w:rsidRPr="00316BD5" w:rsidRDefault="00A372E0" w:rsidP="00A372E0">
      <w:pPr>
        <w:pStyle w:val="ListParagraph"/>
        <w:numPr>
          <w:ilvl w:val="0"/>
          <w:numId w:val="2"/>
        </w:numPr>
        <w:rPr>
          <w:color w:val="4472C4" w:themeColor="accent5"/>
        </w:rPr>
      </w:pPr>
      <w:r w:rsidRPr="00316BD5">
        <w:rPr>
          <w:color w:val="4472C4" w:themeColor="accent5"/>
        </w:rPr>
        <w:t>The measures have higher trueness</w:t>
      </w:r>
      <w:r w:rsidR="00097435" w:rsidRPr="00316BD5">
        <w:rPr>
          <w:color w:val="4472C4" w:themeColor="accent5"/>
        </w:rPr>
        <w:t xml:space="preserve">. </w:t>
      </w:r>
      <w:r w:rsidR="0043550B" w:rsidRPr="00316BD5">
        <w:rPr>
          <w:color w:val="4472C4" w:themeColor="accent5"/>
        </w:rPr>
        <w:t>N</w:t>
      </w:r>
      <w:r w:rsidR="009F16C5" w:rsidRPr="00316BD5">
        <w:rPr>
          <w:color w:val="4472C4" w:themeColor="accent5"/>
        </w:rPr>
        <w:t xml:space="preserve">ot only </w:t>
      </w:r>
      <w:r w:rsidR="006757FA" w:rsidRPr="00316BD5">
        <w:rPr>
          <w:color w:val="4472C4" w:themeColor="accent5"/>
        </w:rPr>
        <w:t>is the recorded time</w:t>
      </w:r>
      <w:r w:rsidR="009F16C5" w:rsidRPr="00316BD5">
        <w:rPr>
          <w:color w:val="4472C4" w:themeColor="accent5"/>
        </w:rPr>
        <w:t xml:space="preserve"> more accurate, </w:t>
      </w:r>
      <w:r w:rsidR="000D69C8" w:rsidRPr="00316BD5">
        <w:rPr>
          <w:color w:val="4472C4" w:themeColor="accent5"/>
        </w:rPr>
        <w:t xml:space="preserve">we </w:t>
      </w:r>
      <w:r w:rsidR="00F119EB" w:rsidRPr="00316BD5">
        <w:rPr>
          <w:color w:val="4472C4" w:themeColor="accent5"/>
        </w:rPr>
        <w:t xml:space="preserve">are also more confident </w:t>
      </w:r>
      <w:r w:rsidR="009F16C5" w:rsidRPr="00316BD5">
        <w:rPr>
          <w:color w:val="4472C4" w:themeColor="accent5"/>
        </w:rPr>
        <w:t>in the measured value.</w:t>
      </w:r>
      <w:r w:rsidR="00097435" w:rsidRPr="00316BD5">
        <w:rPr>
          <w:color w:val="4472C4" w:themeColor="accent5"/>
        </w:rPr>
        <w:t xml:space="preserve"> Although the value do not have a definite causality with the record time, which means there is a possibility that random error can offset some or all systematic error. However, it is generally true that higher temporal measures have higher trueness.</w:t>
      </w:r>
    </w:p>
    <w:p w:rsidR="006757FA" w:rsidRDefault="00316BD5" w:rsidP="0024122F">
      <w:pPr>
        <w:rPr>
          <w:color w:val="4472C4" w:themeColor="accent5"/>
        </w:rPr>
      </w:pPr>
      <w:r w:rsidRPr="00316BD5">
        <w:rPr>
          <w:color w:val="4472C4" w:themeColor="accent5"/>
        </w:rPr>
        <w:t xml:space="preserve">In short, real-time measures have </w:t>
      </w:r>
      <w:r>
        <w:rPr>
          <w:color w:val="4472C4" w:themeColor="accent5"/>
        </w:rPr>
        <w:t xml:space="preserve">higher authenticity. </w:t>
      </w:r>
    </w:p>
    <w:p w:rsidR="00316BD5" w:rsidRDefault="00316BD5" w:rsidP="0024122F">
      <w:pPr>
        <w:rPr>
          <w:color w:val="4472C4" w:themeColor="accent5"/>
        </w:rPr>
      </w:pPr>
    </w:p>
    <w:p w:rsidR="00763FC3" w:rsidRDefault="00316BD5" w:rsidP="0024122F">
      <w:pPr>
        <w:rPr>
          <w:color w:val="4472C4" w:themeColor="accent5"/>
        </w:rPr>
      </w:pPr>
      <w:r>
        <w:rPr>
          <w:color w:val="4472C4" w:themeColor="accent5"/>
        </w:rPr>
        <w:t xml:space="preserve">In terms of challenges, </w:t>
      </w:r>
      <w:r w:rsidR="00763FC3">
        <w:rPr>
          <w:color w:val="4472C4" w:themeColor="accent5"/>
        </w:rPr>
        <w:t>there are several additional requirements:</w:t>
      </w:r>
    </w:p>
    <w:p w:rsidR="00316BD5" w:rsidRDefault="00763FC3" w:rsidP="00763FC3">
      <w:pPr>
        <w:pStyle w:val="ListParagraph"/>
        <w:numPr>
          <w:ilvl w:val="0"/>
          <w:numId w:val="3"/>
        </w:numPr>
        <w:rPr>
          <w:color w:val="4472C4" w:themeColor="accent5"/>
        </w:rPr>
      </w:pPr>
      <w:r>
        <w:rPr>
          <w:color w:val="4472C4" w:themeColor="accent5"/>
        </w:rPr>
        <w:t>R</w:t>
      </w:r>
      <w:r w:rsidR="00316BD5" w:rsidRPr="00763FC3">
        <w:rPr>
          <w:color w:val="4472C4" w:themeColor="accent5"/>
        </w:rPr>
        <w:t xml:space="preserve">eal-time measures requires more responsive in-situ censors, which </w:t>
      </w:r>
      <w:r>
        <w:rPr>
          <w:color w:val="4472C4" w:themeColor="accent5"/>
        </w:rPr>
        <w:t>take additional t</w:t>
      </w:r>
      <w:r w:rsidR="000322D7">
        <w:rPr>
          <w:color w:val="4472C4" w:themeColor="accent5"/>
        </w:rPr>
        <w:t>echnological and economic costs.</w:t>
      </w:r>
    </w:p>
    <w:p w:rsidR="00763FC3" w:rsidRDefault="00763FC3" w:rsidP="00763FC3">
      <w:pPr>
        <w:pStyle w:val="ListParagraph"/>
        <w:numPr>
          <w:ilvl w:val="0"/>
          <w:numId w:val="3"/>
        </w:numPr>
        <w:rPr>
          <w:color w:val="4472C4" w:themeColor="accent5"/>
        </w:rPr>
      </w:pPr>
      <w:r>
        <w:rPr>
          <w:color w:val="4472C4" w:themeColor="accent5"/>
        </w:rPr>
        <w:t>Real-time measures requires real-time data, which needs data supports such as standard format and data streaming pipeline</w:t>
      </w:r>
      <w:r w:rsidR="00607E3E">
        <w:rPr>
          <w:color w:val="4472C4" w:themeColor="accent5"/>
        </w:rPr>
        <w:t>. These</w:t>
      </w:r>
      <w:r w:rsidR="00F35084">
        <w:rPr>
          <w:color w:val="4472C4" w:themeColor="accent5"/>
        </w:rPr>
        <w:t xml:space="preserve"> will take more</w:t>
      </w:r>
      <w:r>
        <w:rPr>
          <w:color w:val="4472C4" w:themeColor="accent5"/>
        </w:rPr>
        <w:t xml:space="preserve"> costs</w:t>
      </w:r>
      <w:r w:rsidR="000322D7">
        <w:rPr>
          <w:color w:val="4472C4" w:themeColor="accent5"/>
        </w:rPr>
        <w:t>.</w:t>
      </w:r>
    </w:p>
    <w:p w:rsidR="00DE1C06" w:rsidRDefault="00DE1C06" w:rsidP="00763FC3">
      <w:pPr>
        <w:pStyle w:val="ListParagraph"/>
        <w:numPr>
          <w:ilvl w:val="0"/>
          <w:numId w:val="3"/>
        </w:numPr>
        <w:rPr>
          <w:color w:val="4472C4" w:themeColor="accent5"/>
        </w:rPr>
      </w:pPr>
      <w:r>
        <w:rPr>
          <w:color w:val="4472C4" w:themeColor="accent5"/>
        </w:rPr>
        <w:lastRenderedPageBreak/>
        <w:t xml:space="preserve">For high-frequency events </w:t>
      </w:r>
      <w:r w:rsidR="001921E1">
        <w:rPr>
          <w:color w:val="4472C4" w:themeColor="accent5"/>
        </w:rPr>
        <w:t xml:space="preserve">such as </w:t>
      </w:r>
      <w:r>
        <w:rPr>
          <w:color w:val="4472C4" w:themeColor="accent5"/>
        </w:rPr>
        <w:t>bus</w:t>
      </w:r>
      <w:r w:rsidR="001921E1">
        <w:rPr>
          <w:color w:val="4472C4" w:themeColor="accent5"/>
        </w:rPr>
        <w:t>es’</w:t>
      </w:r>
      <w:r>
        <w:rPr>
          <w:color w:val="4472C4" w:themeColor="accent5"/>
        </w:rPr>
        <w:t xml:space="preserve"> departure </w:t>
      </w:r>
      <w:r w:rsidR="003417E6">
        <w:rPr>
          <w:color w:val="4472C4" w:themeColor="accent5"/>
        </w:rPr>
        <w:t xml:space="preserve">and arrival </w:t>
      </w:r>
      <w:r>
        <w:rPr>
          <w:color w:val="4472C4" w:themeColor="accent5"/>
        </w:rPr>
        <w:t xml:space="preserve">time at each stop, to keep up with the events’ occurrence, the data will have a very </w:t>
      </w:r>
      <w:r w:rsidR="003417E6">
        <w:rPr>
          <w:color w:val="4472C4" w:themeColor="accent5"/>
        </w:rPr>
        <w:t xml:space="preserve">large volume and high velocity. </w:t>
      </w:r>
      <w:r w:rsidR="003B5BAB">
        <w:rPr>
          <w:color w:val="4472C4" w:themeColor="accent5"/>
        </w:rPr>
        <w:t>We discussed this challenge in the Big Data section.</w:t>
      </w:r>
    </w:p>
    <w:p w:rsidR="0063133E" w:rsidRPr="00763FC3" w:rsidRDefault="0045181A" w:rsidP="00763FC3">
      <w:pPr>
        <w:pStyle w:val="ListParagraph"/>
        <w:numPr>
          <w:ilvl w:val="0"/>
          <w:numId w:val="3"/>
        </w:numPr>
        <w:rPr>
          <w:color w:val="4472C4" w:themeColor="accent5"/>
        </w:rPr>
      </w:pPr>
      <w:r>
        <w:rPr>
          <w:color w:val="4472C4" w:themeColor="accent5"/>
        </w:rPr>
        <w:t xml:space="preserve">Real-time </w:t>
      </w:r>
      <w:r w:rsidR="00994755">
        <w:rPr>
          <w:color w:val="4472C4" w:themeColor="accent5"/>
        </w:rPr>
        <w:t xml:space="preserve">data usually requires the administrative support to </w:t>
      </w:r>
      <w:r w:rsidR="00785464">
        <w:rPr>
          <w:color w:val="4472C4" w:themeColor="accent5"/>
        </w:rPr>
        <w:t xml:space="preserve">be able to </w:t>
      </w:r>
      <w:r w:rsidR="00994755">
        <w:rPr>
          <w:color w:val="4472C4" w:themeColor="accent5"/>
        </w:rPr>
        <w:t>connect the censor with the bus.</w:t>
      </w:r>
    </w:p>
    <w:p w:rsidR="00160EE0" w:rsidRDefault="00160EE0" w:rsidP="00160EE0">
      <w:pPr>
        <w:pStyle w:val="ListParagraph"/>
        <w:ind w:left="0"/>
      </w:pPr>
    </w:p>
    <w:p w:rsidR="0073428A" w:rsidRDefault="00B774FC" w:rsidP="0073428A">
      <w:pPr>
        <w:pStyle w:val="ListParagraph"/>
        <w:numPr>
          <w:ilvl w:val="0"/>
          <w:numId w:val="1"/>
        </w:numPr>
      </w:pPr>
      <w:r>
        <w:t>One point that would be worth clarifying is the notion and value of temporal ‘accuracy’. In which way do static measures systemically deviate from actual time? Or is the issue rather temporal precision? I believe more discussion of the new, dynamic measures would be valuable to increase the noticeably expanded yet still limited engagement with the journal’s theme.</w:t>
      </w:r>
    </w:p>
    <w:p w:rsidR="0073428A" w:rsidRDefault="0073428A" w:rsidP="0073428A">
      <w:pPr>
        <w:pStyle w:val="ListParagraph"/>
        <w:ind w:left="0"/>
      </w:pPr>
    </w:p>
    <w:p w:rsidR="006B28ED" w:rsidRDefault="00160EE0" w:rsidP="00160EE0">
      <w:pPr>
        <w:rPr>
          <w:color w:val="4472C4" w:themeColor="accent5"/>
        </w:rPr>
      </w:pPr>
      <w:r w:rsidRPr="00160EE0">
        <w:rPr>
          <w:color w:val="4472C4" w:themeColor="accent5"/>
        </w:rPr>
        <w:t>Response:</w:t>
      </w:r>
      <w:r>
        <w:rPr>
          <w:color w:val="4472C4" w:themeColor="accent5"/>
        </w:rPr>
        <w:t xml:space="preserve"> we also considered the same issue when we introduce the concept in the paper, and finally we decide to use “accuracy” instead of “precision”. According to the ISO definition, accuracy describes a combination of both types of observational error, including random and systematic, while precision only covers random errors. In other words,</w:t>
      </w:r>
      <w:r w:rsidRPr="00160EE0">
        <w:rPr>
          <w:color w:val="4472C4" w:themeColor="accent5"/>
        </w:rPr>
        <w:t xml:space="preserve"> accuracy refers to closeness of the measurements to a specific value, while precision refers to the closeness of the measurements to each other.</w:t>
      </w:r>
      <w:r w:rsidR="004809E8">
        <w:rPr>
          <w:color w:val="4472C4" w:themeColor="accent5"/>
        </w:rPr>
        <w:t xml:space="preserve"> </w:t>
      </w:r>
    </w:p>
    <w:p w:rsidR="006B28ED" w:rsidRPr="00160EE0" w:rsidRDefault="000101D6" w:rsidP="006B28ED">
      <w:pPr>
        <w:ind w:firstLine="720"/>
        <w:rPr>
          <w:color w:val="4472C4" w:themeColor="accent5"/>
        </w:rPr>
      </w:pPr>
      <w:r>
        <w:rPr>
          <w:color w:val="4472C4" w:themeColor="accent5"/>
        </w:rPr>
        <w:t xml:space="preserve">As for </w:t>
      </w:r>
      <w:r w:rsidR="00160EE0">
        <w:rPr>
          <w:color w:val="4472C4" w:themeColor="accent5"/>
        </w:rPr>
        <w:t>the temporal accuracy</w:t>
      </w:r>
      <w:r>
        <w:rPr>
          <w:color w:val="4472C4" w:themeColor="accent5"/>
        </w:rPr>
        <w:t>, the error it measures includes systematic error: due to the delay of measuring, the time of measured value is always later than the time of actual event. This is not a random error</w:t>
      </w:r>
      <w:r w:rsidR="004809E8">
        <w:rPr>
          <w:color w:val="4472C4" w:themeColor="accent5"/>
        </w:rPr>
        <w:t xml:space="preserve"> since it is one-sided. This is the main reason why we decided to name it temporal accuracy.</w:t>
      </w:r>
      <w:r w:rsidR="006B28ED">
        <w:rPr>
          <w:color w:val="4472C4" w:themeColor="accent5"/>
        </w:rPr>
        <w:t xml:space="preserve"> </w:t>
      </w:r>
    </w:p>
    <w:p w:rsidR="0003740B" w:rsidRDefault="0003740B" w:rsidP="0003740B">
      <w:pPr>
        <w:pStyle w:val="ListParagraph"/>
        <w:ind w:left="360"/>
      </w:pPr>
    </w:p>
    <w:p w:rsidR="0003740B" w:rsidRDefault="00B774FC" w:rsidP="0003740B">
      <w:pPr>
        <w:pStyle w:val="ListParagraph"/>
        <w:numPr>
          <w:ilvl w:val="0"/>
          <w:numId w:val="1"/>
        </w:numPr>
      </w:pPr>
      <w:r>
        <w:t>On p.15 ln.8, small data are still associated with ‘deliberate’, but as the examples of AVL or GTFS show,</w:t>
      </w:r>
      <w:r w:rsidR="0003740B">
        <w:t xml:space="preserve"> these are big yet deliberate.</w:t>
      </w:r>
    </w:p>
    <w:p w:rsidR="005C1842" w:rsidRDefault="005C1842" w:rsidP="005C1842">
      <w:pPr>
        <w:pStyle w:val="ListParagraph"/>
      </w:pPr>
    </w:p>
    <w:p w:rsidR="001F40FC" w:rsidRPr="001F40FC" w:rsidRDefault="00D45DAE" w:rsidP="001F40FC">
      <w:pPr>
        <w:rPr>
          <w:color w:val="4472C4" w:themeColor="accent5"/>
        </w:rPr>
      </w:pPr>
      <w:r w:rsidRPr="001F40FC">
        <w:rPr>
          <w:color w:val="4472C4" w:themeColor="accent5"/>
        </w:rPr>
        <w:t xml:space="preserve">Response: We apologize for the neglect, since all “deliberate” should be removed in the last draft. </w:t>
      </w:r>
      <w:r w:rsidR="00651D3D" w:rsidRPr="001F40FC">
        <w:rPr>
          <w:color w:val="4472C4" w:themeColor="accent5"/>
        </w:rPr>
        <w:t>W</w:t>
      </w:r>
      <w:r w:rsidR="005C1842" w:rsidRPr="001F40FC">
        <w:rPr>
          <w:color w:val="4472C4" w:themeColor="accent5"/>
        </w:rPr>
        <w:t xml:space="preserve">e deleted the </w:t>
      </w:r>
      <w:r w:rsidR="00651D3D" w:rsidRPr="001F40FC">
        <w:rPr>
          <w:color w:val="4472C4" w:themeColor="accent5"/>
        </w:rPr>
        <w:t xml:space="preserve">word </w:t>
      </w:r>
      <w:r w:rsidR="00CE6411" w:rsidRPr="001F40FC">
        <w:rPr>
          <w:color w:val="4472C4" w:themeColor="accent5"/>
        </w:rPr>
        <w:t xml:space="preserve">in this section, for </w:t>
      </w:r>
      <w:r w:rsidR="005C1842" w:rsidRPr="001F40FC">
        <w:rPr>
          <w:color w:val="4472C4" w:themeColor="accent5"/>
        </w:rPr>
        <w:t xml:space="preserve">we want to shift the focus from “deliberate versus </w:t>
      </w:r>
      <w:r w:rsidR="001F40FC" w:rsidRPr="001F40FC">
        <w:rPr>
          <w:color w:val="4472C4" w:themeColor="accent5"/>
        </w:rPr>
        <w:t>byproduct</w:t>
      </w:r>
      <w:r w:rsidR="005C1842" w:rsidRPr="001F40FC">
        <w:rPr>
          <w:color w:val="4472C4" w:themeColor="accent5"/>
        </w:rPr>
        <w:t>” to “small versus big”</w:t>
      </w:r>
      <w:r w:rsidR="001F40FC" w:rsidRPr="001F40FC">
        <w:rPr>
          <w:color w:val="4472C4" w:themeColor="accent5"/>
        </w:rPr>
        <w:t xml:space="preserve">. </w:t>
      </w:r>
    </w:p>
    <w:p w:rsidR="0003740B" w:rsidRDefault="0003740B" w:rsidP="0003740B">
      <w:pPr>
        <w:pStyle w:val="ListParagraph"/>
      </w:pPr>
    </w:p>
    <w:p w:rsidR="0003740B" w:rsidRDefault="00B774FC" w:rsidP="0003740B">
      <w:pPr>
        <w:pStyle w:val="ListParagraph"/>
        <w:numPr>
          <w:ilvl w:val="0"/>
          <w:numId w:val="1"/>
        </w:numPr>
      </w:pPr>
      <w:r>
        <w:t>The stated drawbacks of small data could be revisited slightly given that such data sources are of</w:t>
      </w:r>
      <w:r w:rsidR="003C3F83">
        <w:t>ten carefully sampled (p.15</w:t>
      </w:r>
      <w:r w:rsidR="0003740B">
        <w:t>).</w:t>
      </w:r>
      <w:r w:rsidR="0003740B">
        <w:br/>
      </w:r>
    </w:p>
    <w:p w:rsidR="003C3F83" w:rsidRPr="00EF0AFA" w:rsidRDefault="00ED2464" w:rsidP="003C3F83">
      <w:pPr>
        <w:rPr>
          <w:color w:val="4472C4" w:themeColor="accent5"/>
        </w:rPr>
      </w:pPr>
      <w:r w:rsidRPr="00EF0AFA">
        <w:rPr>
          <w:color w:val="4472C4" w:themeColor="accent5"/>
        </w:rPr>
        <w:t xml:space="preserve">Response: </w:t>
      </w:r>
      <w:r w:rsidR="003C3F83" w:rsidRPr="00EF0AFA">
        <w:rPr>
          <w:color w:val="4472C4" w:themeColor="accent5"/>
        </w:rPr>
        <w:t>This is a good point. We added this to the text</w:t>
      </w:r>
      <w:r w:rsidRPr="00EF0AFA">
        <w:rPr>
          <w:color w:val="4472C4" w:themeColor="accent5"/>
        </w:rPr>
        <w:t xml:space="preserve"> in section 2.1, paragraph “Small data”</w:t>
      </w:r>
      <w:r w:rsidR="003C3F83" w:rsidRPr="00EF0AFA">
        <w:rPr>
          <w:color w:val="4472C4" w:themeColor="accent5"/>
        </w:rPr>
        <w:t>.</w:t>
      </w:r>
    </w:p>
    <w:p w:rsidR="003C3F83" w:rsidRDefault="003C3F83" w:rsidP="003C3F83"/>
    <w:p w:rsidR="0003740B" w:rsidRDefault="0003740B" w:rsidP="0003740B">
      <w:pPr>
        <w:pStyle w:val="ListParagraph"/>
      </w:pPr>
    </w:p>
    <w:p w:rsidR="003C3F83" w:rsidRDefault="00B774FC" w:rsidP="003C3F83">
      <w:pPr>
        <w:pStyle w:val="ListParagraph"/>
        <w:numPr>
          <w:ilvl w:val="0"/>
          <w:numId w:val="1"/>
        </w:numPr>
      </w:pPr>
      <w:r>
        <w:t xml:space="preserve">P.31 ln 13, I wasn’t sure if the authors refer to the frequency of the ‘generating’ service or the ‘receiving’ service. I would expect correlations between ‘transfer risk’ and the receiving service. Perhaps the authors could clarify which </w:t>
      </w:r>
      <w:r w:rsidR="0003740B">
        <w:t>type of service they refer to.</w:t>
      </w:r>
      <w:r w:rsidR="0003740B">
        <w:br/>
      </w:r>
    </w:p>
    <w:p w:rsidR="005E3C44" w:rsidRDefault="00805783" w:rsidP="003C3F83">
      <w:pPr>
        <w:pStyle w:val="ListParagraph"/>
        <w:ind w:left="0"/>
        <w:rPr>
          <w:color w:val="4472C4" w:themeColor="accent5"/>
        </w:rPr>
      </w:pPr>
      <w:r w:rsidRPr="00EF0AFA">
        <w:rPr>
          <w:color w:val="4472C4" w:themeColor="accent5"/>
        </w:rPr>
        <w:t xml:space="preserve">Response: </w:t>
      </w:r>
      <w:r w:rsidR="003C3F83" w:rsidRPr="00EF0AFA">
        <w:rPr>
          <w:color w:val="4472C4" w:themeColor="accent5"/>
        </w:rPr>
        <w:t xml:space="preserve">This is a good question. We are using the average frequency of both generating and receiving services. </w:t>
      </w:r>
      <w:r w:rsidR="00516ECD" w:rsidRPr="00EF0AFA">
        <w:rPr>
          <w:color w:val="4472C4" w:themeColor="accent5"/>
        </w:rPr>
        <w:t xml:space="preserve">We believe the correlation results between transfer risk and the receiving services is close, since </w:t>
      </w:r>
      <w:r w:rsidR="000B3C73" w:rsidRPr="00EF0AFA">
        <w:rPr>
          <w:color w:val="4472C4" w:themeColor="accent5"/>
        </w:rPr>
        <w:t xml:space="preserve">at each stop </w:t>
      </w:r>
      <w:r w:rsidR="00516ECD" w:rsidRPr="00EF0AFA">
        <w:rPr>
          <w:color w:val="4472C4" w:themeColor="accent5"/>
        </w:rPr>
        <w:t xml:space="preserve">each receiving trip in a transfer can also be a generating trip in another transfer. For example, transfer A consist of generating trip </w:t>
      </w:r>
      <w:r w:rsidR="00516ECD" w:rsidRPr="00EF0AFA">
        <w:rPr>
          <w:i/>
          <w:color w:val="4472C4" w:themeColor="accent5"/>
        </w:rPr>
        <w:t>a</w:t>
      </w:r>
      <w:r w:rsidR="00516ECD" w:rsidRPr="00EF0AFA">
        <w:rPr>
          <w:color w:val="4472C4" w:themeColor="accent5"/>
        </w:rPr>
        <w:t xml:space="preserve"> </w:t>
      </w:r>
      <w:r w:rsidR="00161624" w:rsidRPr="00EF0AFA">
        <w:rPr>
          <w:color w:val="4472C4" w:themeColor="accent5"/>
        </w:rPr>
        <w:t xml:space="preserve">(route 1) </w:t>
      </w:r>
      <w:r w:rsidR="00516ECD" w:rsidRPr="00EF0AFA">
        <w:rPr>
          <w:color w:val="4472C4" w:themeColor="accent5"/>
        </w:rPr>
        <w:t xml:space="preserve">and receiving trip </w:t>
      </w:r>
      <w:r w:rsidR="00516ECD" w:rsidRPr="00EF0AFA">
        <w:rPr>
          <w:i/>
          <w:color w:val="4472C4" w:themeColor="accent5"/>
        </w:rPr>
        <w:t>b</w:t>
      </w:r>
      <w:r w:rsidR="00161624" w:rsidRPr="00EF0AFA">
        <w:rPr>
          <w:i/>
          <w:color w:val="4472C4" w:themeColor="accent5"/>
        </w:rPr>
        <w:t xml:space="preserve"> </w:t>
      </w:r>
      <w:r w:rsidR="00161624" w:rsidRPr="00EF0AFA">
        <w:rPr>
          <w:color w:val="4472C4" w:themeColor="accent5"/>
        </w:rPr>
        <w:t>(route 2)</w:t>
      </w:r>
      <w:r w:rsidR="000B3C73" w:rsidRPr="00EF0AFA">
        <w:rPr>
          <w:color w:val="4472C4" w:themeColor="accent5"/>
        </w:rPr>
        <w:t>;</w:t>
      </w:r>
      <w:r w:rsidR="00516ECD" w:rsidRPr="00EF0AFA">
        <w:rPr>
          <w:color w:val="4472C4" w:themeColor="accent5"/>
        </w:rPr>
        <w:t xml:space="preserve"> while transfer B consists of </w:t>
      </w:r>
      <w:r w:rsidR="000B3C73" w:rsidRPr="00EF0AFA">
        <w:rPr>
          <w:color w:val="4472C4" w:themeColor="accent5"/>
        </w:rPr>
        <w:t xml:space="preserve">generating trip </w:t>
      </w:r>
      <w:r w:rsidR="000B3C73" w:rsidRPr="00EF0AFA">
        <w:rPr>
          <w:i/>
          <w:color w:val="4472C4" w:themeColor="accent5"/>
        </w:rPr>
        <w:t xml:space="preserve">b </w:t>
      </w:r>
      <w:r w:rsidR="000B3C73" w:rsidRPr="00EF0AFA">
        <w:rPr>
          <w:color w:val="4472C4" w:themeColor="accent5"/>
        </w:rPr>
        <w:t>and</w:t>
      </w:r>
      <w:r w:rsidR="000B3C73" w:rsidRPr="00EF0AFA">
        <w:rPr>
          <w:i/>
          <w:color w:val="4472C4" w:themeColor="accent5"/>
        </w:rPr>
        <w:t xml:space="preserve"> </w:t>
      </w:r>
      <w:r w:rsidR="000B3C73" w:rsidRPr="00EF0AFA">
        <w:rPr>
          <w:color w:val="4472C4" w:themeColor="accent5"/>
        </w:rPr>
        <w:t>receiving trip c</w:t>
      </w:r>
      <w:r w:rsidR="00161624" w:rsidRPr="00EF0AFA">
        <w:rPr>
          <w:color w:val="4472C4" w:themeColor="accent5"/>
        </w:rPr>
        <w:t xml:space="preserve"> (an later trip for route 1)</w:t>
      </w:r>
      <w:r w:rsidR="000B3C73" w:rsidRPr="00EF0AFA">
        <w:rPr>
          <w:color w:val="4472C4" w:themeColor="accent5"/>
        </w:rPr>
        <w:t>; and for most trips</w:t>
      </w:r>
      <w:r w:rsidR="006242F7" w:rsidRPr="00EF0AFA">
        <w:rPr>
          <w:color w:val="4472C4" w:themeColor="accent5"/>
        </w:rPr>
        <w:t xml:space="preserve"> (except for the earliest and latest one)</w:t>
      </w:r>
      <w:r w:rsidR="000B3C73" w:rsidRPr="00EF0AFA">
        <w:rPr>
          <w:color w:val="4472C4" w:themeColor="accent5"/>
        </w:rPr>
        <w:t>, there are at least two counterparts</w:t>
      </w:r>
      <w:r w:rsidR="006A4912" w:rsidRPr="00EF0AFA">
        <w:rPr>
          <w:color w:val="4472C4" w:themeColor="accent5"/>
        </w:rPr>
        <w:t>:</w:t>
      </w:r>
      <w:r w:rsidR="000B3C73" w:rsidRPr="00EF0AFA">
        <w:rPr>
          <w:color w:val="4472C4" w:themeColor="accent5"/>
        </w:rPr>
        <w:t xml:space="preserve"> one with itself as generating trip and the other with itself as receiving trip. </w:t>
      </w:r>
      <w:r w:rsidR="002F3B4A" w:rsidRPr="00EF0AFA">
        <w:rPr>
          <w:color w:val="4472C4" w:themeColor="accent5"/>
        </w:rPr>
        <w:lastRenderedPageBreak/>
        <w:t>Therefore, compared with calculating the headway/frequency of generating/receiving trips alone, we are merely counting twice if we calculate the total average and the average will stay the same</w:t>
      </w:r>
      <w:r w:rsidR="002F3B4A" w:rsidRPr="002F3B4A">
        <w:rPr>
          <w:color w:val="4472C4" w:themeColor="accent5"/>
        </w:rPr>
        <w:t xml:space="preserve">. </w:t>
      </w:r>
      <w:r w:rsidR="002F3B4A" w:rsidRPr="002F3B4A">
        <w:rPr>
          <w:color w:val="4472C4" w:themeColor="accent5"/>
        </w:rPr>
        <w:fldChar w:fldCharType="begin"/>
      </w:r>
      <w:r w:rsidR="002F3B4A" w:rsidRPr="002F3B4A">
        <w:rPr>
          <w:color w:val="4472C4" w:themeColor="accent5"/>
        </w:rPr>
        <w:instrText xml:space="preserve"> REF _Ref34220347 \h  \* MERGEFORMAT </w:instrText>
      </w:r>
      <w:r w:rsidR="002F3B4A" w:rsidRPr="002F3B4A">
        <w:rPr>
          <w:color w:val="4472C4" w:themeColor="accent5"/>
        </w:rPr>
      </w:r>
      <w:r w:rsidR="002F3B4A" w:rsidRPr="002F3B4A">
        <w:rPr>
          <w:color w:val="4472C4" w:themeColor="accent5"/>
        </w:rPr>
        <w:fldChar w:fldCharType="separate"/>
      </w:r>
      <w:r w:rsidR="002F3B4A" w:rsidRPr="002F3B4A">
        <w:rPr>
          <w:color w:val="4472C4" w:themeColor="accent5"/>
        </w:rPr>
        <w:t>Figure 1</w:t>
      </w:r>
      <w:r w:rsidR="002F3B4A" w:rsidRPr="002F3B4A">
        <w:rPr>
          <w:color w:val="4472C4" w:themeColor="accent5"/>
        </w:rPr>
        <w:fldChar w:fldCharType="end"/>
      </w:r>
      <w:r w:rsidR="002F3B4A">
        <w:rPr>
          <w:color w:val="4472C4" w:themeColor="accent5"/>
        </w:rPr>
        <w:t xml:space="preserve"> shows the relationship between all transfer trips and only receiving trips.</w:t>
      </w:r>
      <w:r w:rsidR="000F6CB7">
        <w:rPr>
          <w:color w:val="4472C4" w:themeColor="accent5"/>
        </w:rPr>
        <w:t xml:space="preserve"> The figure proves that the value of two headways calculations are extremely close</w:t>
      </w:r>
      <w:r w:rsidR="00C43290">
        <w:rPr>
          <w:color w:val="4472C4" w:themeColor="accent5"/>
        </w:rPr>
        <w:t>.</w:t>
      </w:r>
      <w:r w:rsidR="002F3B4A" w:rsidRPr="002F3B4A">
        <w:rPr>
          <w:color w:val="4472C4" w:themeColor="accent5"/>
        </w:rPr>
        <w:t xml:space="preserve"> </w:t>
      </w:r>
      <w:r w:rsidR="002F3B4A" w:rsidRPr="00EF0AFA">
        <w:rPr>
          <w:color w:val="4472C4" w:themeColor="accent5"/>
        </w:rPr>
        <w:t>Therefore, we can say it will not change the res</w:t>
      </w:r>
      <w:r w:rsidR="00CE4C98">
        <w:rPr>
          <w:color w:val="4472C4" w:themeColor="accent5"/>
        </w:rPr>
        <w:t>ults, which is especially true for correlation analysis since the data points is very few.</w:t>
      </w:r>
    </w:p>
    <w:p w:rsidR="005E3C44" w:rsidRDefault="005E3C44" w:rsidP="005E3C44">
      <w:pPr>
        <w:pStyle w:val="ListParagraph"/>
        <w:keepNext/>
        <w:ind w:left="0"/>
        <w:jc w:val="center"/>
      </w:pPr>
      <w:r>
        <w:rPr>
          <w:noProof/>
        </w:rPr>
        <w:drawing>
          <wp:inline distT="0" distB="0" distL="0" distR="0" wp14:anchorId="3373AAF0" wp14:editId="3B0C9256">
            <wp:extent cx="4707172" cy="4238625"/>
            <wp:effectExtent l="0" t="0" r="1778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E3C44" w:rsidRPr="005E3C44" w:rsidRDefault="005E3C44" w:rsidP="005E3C44">
      <w:pPr>
        <w:pStyle w:val="Caption"/>
        <w:jc w:val="center"/>
        <w:rPr>
          <w:i w:val="0"/>
          <w:color w:val="auto"/>
          <w:sz w:val="24"/>
        </w:rPr>
      </w:pPr>
      <w:bookmarkStart w:id="0" w:name="_Ref34220347"/>
      <w:r w:rsidRPr="005E3C44">
        <w:rPr>
          <w:i w:val="0"/>
          <w:color w:val="auto"/>
          <w:sz w:val="24"/>
        </w:rPr>
        <w:t xml:space="preserve">Figure </w:t>
      </w:r>
      <w:r w:rsidRPr="005E3C44">
        <w:rPr>
          <w:i w:val="0"/>
          <w:color w:val="auto"/>
          <w:sz w:val="24"/>
        </w:rPr>
        <w:fldChar w:fldCharType="begin"/>
      </w:r>
      <w:r w:rsidRPr="005E3C44">
        <w:rPr>
          <w:i w:val="0"/>
          <w:color w:val="auto"/>
          <w:sz w:val="24"/>
        </w:rPr>
        <w:instrText xml:space="preserve"> SEQ Figure \* ARABIC </w:instrText>
      </w:r>
      <w:r w:rsidRPr="005E3C44">
        <w:rPr>
          <w:i w:val="0"/>
          <w:color w:val="auto"/>
          <w:sz w:val="24"/>
        </w:rPr>
        <w:fldChar w:fldCharType="separate"/>
      </w:r>
      <w:r w:rsidRPr="005E3C44">
        <w:rPr>
          <w:i w:val="0"/>
          <w:noProof/>
          <w:color w:val="auto"/>
          <w:sz w:val="24"/>
        </w:rPr>
        <w:t>1</w:t>
      </w:r>
      <w:r w:rsidRPr="005E3C44">
        <w:rPr>
          <w:i w:val="0"/>
          <w:color w:val="auto"/>
          <w:sz w:val="24"/>
        </w:rPr>
        <w:fldChar w:fldCharType="end"/>
      </w:r>
      <w:bookmarkEnd w:id="0"/>
      <w:r w:rsidRPr="005E3C44">
        <w:rPr>
          <w:i w:val="0"/>
          <w:color w:val="auto"/>
          <w:sz w:val="24"/>
        </w:rPr>
        <w:t xml:space="preserve"> </w:t>
      </w:r>
      <w:r w:rsidR="00173689">
        <w:rPr>
          <w:i w:val="0"/>
          <w:color w:val="auto"/>
          <w:sz w:val="24"/>
        </w:rPr>
        <w:t>t</w:t>
      </w:r>
      <w:r w:rsidRPr="005E3C44">
        <w:rPr>
          <w:rFonts w:hint="eastAsia"/>
          <w:i w:val="0"/>
          <w:color w:val="auto"/>
          <w:sz w:val="24"/>
        </w:rPr>
        <w:t>he</w:t>
      </w:r>
      <w:r w:rsidRPr="005E3C44">
        <w:rPr>
          <w:i w:val="0"/>
          <w:color w:val="auto"/>
          <w:sz w:val="24"/>
        </w:rPr>
        <w:t xml:space="preserve"> relationship between </w:t>
      </w:r>
      <w:r w:rsidR="000F6CB7">
        <w:rPr>
          <w:i w:val="0"/>
          <w:color w:val="auto"/>
          <w:sz w:val="24"/>
        </w:rPr>
        <w:t xml:space="preserve">hourly </w:t>
      </w:r>
      <w:r w:rsidRPr="005E3C44">
        <w:rPr>
          <w:i w:val="0"/>
          <w:color w:val="auto"/>
          <w:sz w:val="24"/>
        </w:rPr>
        <w:t>headway of all transfer trips and only receiving trips.</w:t>
      </w:r>
    </w:p>
    <w:p w:rsidR="003C3F83" w:rsidRDefault="003C3F83" w:rsidP="003C3F83">
      <w:pPr>
        <w:pStyle w:val="ListParagraph"/>
        <w:ind w:left="0"/>
      </w:pPr>
    </w:p>
    <w:p w:rsidR="0003740B" w:rsidRDefault="0003740B" w:rsidP="0003740B">
      <w:pPr>
        <w:pStyle w:val="ListParagraph"/>
      </w:pPr>
    </w:p>
    <w:p w:rsidR="002F3AC7" w:rsidRDefault="00B774FC" w:rsidP="002F3AC7">
      <w:pPr>
        <w:pStyle w:val="ListParagraph"/>
        <w:numPr>
          <w:ilvl w:val="0"/>
          <w:numId w:val="1"/>
        </w:numPr>
      </w:pPr>
      <w:r>
        <w:t>P.31 ln 38, I couldn’t follow why ‘transfer risk’ increases at night. I would expect that it reduces, in p</w:t>
      </w:r>
      <w:r w:rsidR="0003740B">
        <w:t>articular due to less traffic.</w:t>
      </w:r>
      <w:r w:rsidR="0003740B">
        <w:br/>
      </w:r>
    </w:p>
    <w:p w:rsidR="00244F75" w:rsidRPr="00E26CC4" w:rsidRDefault="00E26CC4" w:rsidP="00244F75">
      <w:pPr>
        <w:pStyle w:val="ListParagraph"/>
        <w:ind w:left="0"/>
        <w:rPr>
          <w:color w:val="4472C4" w:themeColor="accent5"/>
        </w:rPr>
      </w:pPr>
      <w:r w:rsidRPr="00E26CC4">
        <w:rPr>
          <w:color w:val="4472C4" w:themeColor="accent5"/>
        </w:rPr>
        <w:t xml:space="preserve">Response: </w:t>
      </w:r>
      <w:r w:rsidR="00A12F08" w:rsidRPr="00E26CC4">
        <w:rPr>
          <w:color w:val="4472C4" w:themeColor="accent5"/>
        </w:rPr>
        <w:t>Yes, this is surely</w:t>
      </w:r>
      <w:r w:rsidR="00BF3490" w:rsidRPr="00E26CC4">
        <w:rPr>
          <w:color w:val="4472C4" w:themeColor="accent5"/>
        </w:rPr>
        <w:t xml:space="preserve"> anti-intuitive</w:t>
      </w:r>
      <w:r w:rsidR="00A12F08" w:rsidRPr="00E26CC4">
        <w:rPr>
          <w:color w:val="4472C4" w:themeColor="accent5"/>
        </w:rPr>
        <w:t>.</w:t>
      </w:r>
      <w:r w:rsidR="00BF3490" w:rsidRPr="00E26CC4">
        <w:rPr>
          <w:color w:val="4472C4" w:themeColor="accent5"/>
        </w:rPr>
        <w:t xml:space="preserve"> </w:t>
      </w:r>
      <w:r w:rsidR="001F5A9D" w:rsidRPr="00E26CC4">
        <w:rPr>
          <w:color w:val="4472C4" w:themeColor="accent5"/>
        </w:rPr>
        <w:t>However,</w:t>
      </w:r>
      <w:r w:rsidR="00BF3490" w:rsidRPr="00E26CC4">
        <w:rPr>
          <w:color w:val="4472C4" w:themeColor="accent5"/>
        </w:rPr>
        <w:t xml:space="preserve"> this will make more sense when we </w:t>
      </w:r>
      <w:r w:rsidR="00843137" w:rsidRPr="00E26CC4">
        <w:rPr>
          <w:color w:val="4472C4" w:themeColor="accent5"/>
        </w:rPr>
        <w:t xml:space="preserve">consider </w:t>
      </w:r>
      <w:r w:rsidR="00BF3490" w:rsidRPr="00E26CC4">
        <w:rPr>
          <w:color w:val="4472C4" w:themeColor="accent5"/>
        </w:rPr>
        <w:t xml:space="preserve">that the bus trips </w:t>
      </w:r>
      <w:r w:rsidR="00843137" w:rsidRPr="00E26CC4">
        <w:rPr>
          <w:color w:val="4472C4" w:themeColor="accent5"/>
        </w:rPr>
        <w:t xml:space="preserve">in operation </w:t>
      </w:r>
      <w:r w:rsidR="00BF3490" w:rsidRPr="00E26CC4">
        <w:rPr>
          <w:color w:val="4472C4" w:themeColor="accent5"/>
        </w:rPr>
        <w:t>are also changing.</w:t>
      </w:r>
      <w:r w:rsidR="00A12F08" w:rsidRPr="00E26CC4">
        <w:rPr>
          <w:color w:val="4472C4" w:themeColor="accent5"/>
        </w:rPr>
        <w:t xml:space="preserve"> </w:t>
      </w:r>
      <w:r w:rsidR="00843137" w:rsidRPr="00E26CC4">
        <w:rPr>
          <w:color w:val="4472C4" w:themeColor="accent5"/>
        </w:rPr>
        <w:t>D</w:t>
      </w:r>
      <w:r w:rsidR="00A12F08" w:rsidRPr="00E26CC4">
        <w:rPr>
          <w:color w:val="4472C4" w:themeColor="accent5"/>
        </w:rPr>
        <w:t>uring the night, the percentage of transfers on the High Street (the major north-south thoroughfare in Columbus, indicated by a red circle in Figure 2 in the main text) is increasing</w:t>
      </w:r>
      <w:r w:rsidR="001F5A9D" w:rsidRPr="00E26CC4">
        <w:rPr>
          <w:color w:val="4472C4" w:themeColor="accent5"/>
        </w:rPr>
        <w:t xml:space="preserve"> since other bus trips involved with transfers will not run in late hours</w:t>
      </w:r>
      <w:r w:rsidR="00843137" w:rsidRPr="00E26CC4">
        <w:rPr>
          <w:color w:val="4472C4" w:themeColor="accent5"/>
        </w:rPr>
        <w:t>. As we introduced in the paper, the risk of missed transfer</w:t>
      </w:r>
      <w:r w:rsidR="00595538" w:rsidRPr="00E26CC4">
        <w:rPr>
          <w:color w:val="4472C4" w:themeColor="accent5"/>
        </w:rPr>
        <w:t xml:space="preserve"> or transfer risk</w:t>
      </w:r>
      <w:r w:rsidR="00843137" w:rsidRPr="00E26CC4">
        <w:rPr>
          <w:color w:val="4472C4" w:themeColor="accent5"/>
        </w:rPr>
        <w:t xml:space="preserve"> is relatively high on this road. Since these</w:t>
      </w:r>
      <w:r w:rsidR="00A12F08" w:rsidRPr="00E26CC4">
        <w:rPr>
          <w:color w:val="4472C4" w:themeColor="accent5"/>
        </w:rPr>
        <w:t xml:space="preserve"> highly missed buses on the High Street are basically only buses in operation during the late night hours</w:t>
      </w:r>
      <w:r w:rsidR="00843137" w:rsidRPr="00E26CC4">
        <w:rPr>
          <w:color w:val="4472C4" w:themeColor="accent5"/>
        </w:rPr>
        <w:t>, the risk of missed transfers is surely higher</w:t>
      </w:r>
      <w:r w:rsidR="00A12F08" w:rsidRPr="00E26CC4">
        <w:rPr>
          <w:color w:val="4472C4" w:themeColor="accent5"/>
        </w:rPr>
        <w:t xml:space="preserve">. </w:t>
      </w:r>
    </w:p>
    <w:p w:rsidR="002F3AC7" w:rsidRDefault="002F3AC7" w:rsidP="002F3AC7">
      <w:pPr>
        <w:pStyle w:val="ListParagraph"/>
        <w:ind w:left="0"/>
      </w:pPr>
    </w:p>
    <w:p w:rsidR="0003740B" w:rsidRDefault="0003740B" w:rsidP="0003740B">
      <w:pPr>
        <w:pStyle w:val="ListParagraph"/>
      </w:pPr>
    </w:p>
    <w:p w:rsidR="00692F15" w:rsidRDefault="00B774FC" w:rsidP="00692F15">
      <w:pPr>
        <w:pStyle w:val="ListParagraph"/>
        <w:numPr>
          <w:ilvl w:val="0"/>
          <w:numId w:val="1"/>
        </w:numPr>
      </w:pPr>
      <w:r>
        <w:lastRenderedPageBreak/>
        <w:t>On ‘transfer risk’, I still find the term somewhat misleading. Perhaps a more accurate term could be found, such a</w:t>
      </w:r>
      <w:r w:rsidR="00692F15">
        <w:t>s ‘risk of failed transfers’.</w:t>
      </w:r>
      <w:r w:rsidR="00692F15">
        <w:br/>
      </w:r>
    </w:p>
    <w:p w:rsidR="00152690" w:rsidRPr="00807C9D" w:rsidRDefault="00807C9D" w:rsidP="00692F15">
      <w:pPr>
        <w:pStyle w:val="ListParagraph"/>
        <w:ind w:left="0"/>
        <w:rPr>
          <w:color w:val="4472C4" w:themeColor="accent5"/>
        </w:rPr>
      </w:pPr>
      <w:r w:rsidRPr="00807C9D">
        <w:rPr>
          <w:color w:val="4472C4" w:themeColor="accent5"/>
        </w:rPr>
        <w:t xml:space="preserve">Response: </w:t>
      </w:r>
      <w:r w:rsidR="00692F15" w:rsidRPr="00807C9D">
        <w:rPr>
          <w:color w:val="4472C4" w:themeColor="accent5"/>
        </w:rPr>
        <w:t>Per reviewer 1’s suggestion, w</w:t>
      </w:r>
      <w:r w:rsidR="002F3AC7" w:rsidRPr="00807C9D">
        <w:rPr>
          <w:color w:val="4472C4" w:themeColor="accent5"/>
        </w:rPr>
        <w:t>e changed the term from “t</w:t>
      </w:r>
      <w:r w:rsidR="0073428A" w:rsidRPr="00807C9D">
        <w:rPr>
          <w:color w:val="4472C4" w:themeColor="accent5"/>
        </w:rPr>
        <w:t>ransfer risk” to “risk of missing</w:t>
      </w:r>
      <w:r w:rsidR="00407DF0" w:rsidRPr="00807C9D">
        <w:rPr>
          <w:color w:val="4472C4" w:themeColor="accent5"/>
        </w:rPr>
        <w:t xml:space="preserve"> transfers” and </w:t>
      </w:r>
      <w:r w:rsidR="00A84774">
        <w:rPr>
          <w:color w:val="4472C4" w:themeColor="accent5"/>
        </w:rPr>
        <w:t xml:space="preserve">changed </w:t>
      </w:r>
      <w:bookmarkStart w:id="1" w:name="_GoBack"/>
      <w:bookmarkEnd w:id="1"/>
      <w:r w:rsidR="00407DF0" w:rsidRPr="00807C9D">
        <w:rPr>
          <w:color w:val="4472C4" w:themeColor="accent5"/>
        </w:rPr>
        <w:t>“TR” to “RoMT”</w:t>
      </w:r>
      <w:r w:rsidR="0036635F" w:rsidRPr="00807C9D">
        <w:rPr>
          <w:color w:val="4472C4" w:themeColor="accent5"/>
        </w:rPr>
        <w:t xml:space="preserve">. Please see </w:t>
      </w:r>
      <w:r w:rsidR="00576C2F" w:rsidRPr="00807C9D">
        <w:rPr>
          <w:color w:val="4472C4" w:themeColor="accent5"/>
        </w:rPr>
        <w:t>the corresponding highlighted words in the paper.</w:t>
      </w:r>
      <w:r w:rsidR="00045AF6" w:rsidRPr="00807C9D">
        <w:rPr>
          <w:color w:val="4472C4" w:themeColor="accent5"/>
        </w:rPr>
        <w:t xml:space="preserve"> We believe</w:t>
      </w:r>
      <w:r w:rsidR="00FC7FAA" w:rsidRPr="00807C9D">
        <w:rPr>
          <w:color w:val="4472C4" w:themeColor="accent5"/>
        </w:rPr>
        <w:t xml:space="preserve"> the new term will be less </w:t>
      </w:r>
      <w:r w:rsidR="00566C52" w:rsidRPr="00807C9D">
        <w:rPr>
          <w:color w:val="4472C4" w:themeColor="accent5"/>
        </w:rPr>
        <w:t>misleading</w:t>
      </w:r>
      <w:r w:rsidR="00FC7FAA" w:rsidRPr="00807C9D">
        <w:rPr>
          <w:color w:val="4472C4" w:themeColor="accent5"/>
        </w:rPr>
        <w:t xml:space="preserve"> for new readers.</w:t>
      </w:r>
      <w:r w:rsidR="00045AF6" w:rsidRPr="00807C9D">
        <w:rPr>
          <w:color w:val="4472C4" w:themeColor="accent5"/>
        </w:rPr>
        <w:t xml:space="preserve"> </w:t>
      </w:r>
    </w:p>
    <w:sectPr w:rsidR="00152690" w:rsidRPr="00807C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6A1" w:rsidRDefault="001576A1" w:rsidP="0003740B">
      <w:r>
        <w:separator/>
      </w:r>
    </w:p>
  </w:endnote>
  <w:endnote w:type="continuationSeparator" w:id="0">
    <w:p w:rsidR="001576A1" w:rsidRDefault="001576A1" w:rsidP="00037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6A1" w:rsidRDefault="001576A1" w:rsidP="0003740B">
      <w:r>
        <w:separator/>
      </w:r>
    </w:p>
  </w:footnote>
  <w:footnote w:type="continuationSeparator" w:id="0">
    <w:p w:rsidR="001576A1" w:rsidRDefault="001576A1" w:rsidP="0003740B">
      <w:r>
        <w:continuationSeparator/>
      </w:r>
    </w:p>
  </w:footnote>
  <w:footnote w:id="1">
    <w:p w:rsidR="0003740B" w:rsidRDefault="0003740B" w:rsidP="0003740B">
      <w:pPr>
        <w:pStyle w:val="Footer"/>
        <w:rPr>
          <w:sz w:val="18"/>
        </w:rPr>
      </w:pPr>
      <w:r w:rsidRPr="00E034F0">
        <w:rPr>
          <w:rStyle w:val="FootnoteReference"/>
        </w:rPr>
        <w:t>*</w:t>
      </w:r>
      <w:r>
        <w:rPr>
          <w:sz w:val="20"/>
          <w:szCs w:val="20"/>
        </w:rPr>
        <w:t xml:space="preserve"> </w:t>
      </w:r>
      <w:r>
        <w:rPr>
          <w:rFonts w:ascii="Times New Roman" w:hAnsi="Times New Roman" w:cs="Times New Roman"/>
          <w:sz w:val="18"/>
          <w:szCs w:val="24"/>
        </w:rPr>
        <w:t xml:space="preserve">Corresponding author e-mail: </w:t>
      </w:r>
      <w:hyperlink r:id="rId1" w:history="1">
        <w:r>
          <w:rPr>
            <w:rStyle w:val="Hyperlink"/>
            <w:rFonts w:ascii="Times New Roman" w:hAnsi="Times New Roman" w:cs="Times New Roman"/>
            <w:sz w:val="18"/>
            <w:szCs w:val="24"/>
          </w:rPr>
          <w:t>miller.81@osu.edu</w:t>
        </w:r>
      </w:hyperlink>
    </w:p>
    <w:p w:rsidR="0003740B" w:rsidRDefault="0003740B" w:rsidP="0003740B">
      <w:pPr>
        <w:pStyle w:val="Footer"/>
      </w:pPr>
      <w:r>
        <w:rPr>
          <w:rFonts w:ascii="Times New Roman" w:hAnsi="Times New Roman" w:cs="Times New Roman"/>
          <w:sz w:val="18"/>
          <w:szCs w:val="24"/>
        </w:rPr>
        <w:t xml:space="preserve">First author e-mail: </w:t>
      </w:r>
      <w:hyperlink r:id="rId2" w:history="1">
        <w:r>
          <w:rPr>
            <w:rStyle w:val="Hyperlink"/>
            <w:rFonts w:ascii="Times New Roman" w:hAnsi="Times New Roman" w:cs="Times New Roman"/>
            <w:sz w:val="18"/>
            <w:szCs w:val="24"/>
          </w:rPr>
          <w:t>liu.6544@osu.edu</w:t>
        </w:r>
      </w:hyperlink>
      <w:r>
        <w:rPr>
          <w:rFonts w:ascii="Times New Roman" w:hAnsi="Times New Roman" w:cs="Times New Roman"/>
          <w:sz w:val="18"/>
          <w:szCs w:val="24"/>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08A0"/>
    <w:multiLevelType w:val="hybridMultilevel"/>
    <w:tmpl w:val="923EBA48"/>
    <w:lvl w:ilvl="0" w:tplc="516ACBDE">
      <w:start w:val="1"/>
      <w:numFmt w:val="decimal"/>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7941DB"/>
    <w:multiLevelType w:val="hybridMultilevel"/>
    <w:tmpl w:val="2D9C3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6335FC"/>
    <w:multiLevelType w:val="hybridMultilevel"/>
    <w:tmpl w:val="5D0AC5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B50"/>
    <w:rsid w:val="000101D6"/>
    <w:rsid w:val="000322D7"/>
    <w:rsid w:val="0003740B"/>
    <w:rsid w:val="00045AF6"/>
    <w:rsid w:val="00075952"/>
    <w:rsid w:val="00097435"/>
    <w:rsid w:val="000B3C73"/>
    <w:rsid w:val="000D69C8"/>
    <w:rsid w:val="000F6CB7"/>
    <w:rsid w:val="001576A1"/>
    <w:rsid w:val="00160EE0"/>
    <w:rsid w:val="00161624"/>
    <w:rsid w:val="00161628"/>
    <w:rsid w:val="00173689"/>
    <w:rsid w:val="001921E1"/>
    <w:rsid w:val="001F40FC"/>
    <w:rsid w:val="001F5A9D"/>
    <w:rsid w:val="002154E4"/>
    <w:rsid w:val="0024122F"/>
    <w:rsid w:val="00244F75"/>
    <w:rsid w:val="00256BEB"/>
    <w:rsid w:val="002F3AC7"/>
    <w:rsid w:val="002F3B4A"/>
    <w:rsid w:val="00316BD5"/>
    <w:rsid w:val="00322739"/>
    <w:rsid w:val="003417E6"/>
    <w:rsid w:val="0036635F"/>
    <w:rsid w:val="00395385"/>
    <w:rsid w:val="003B5BAB"/>
    <w:rsid w:val="003C3F83"/>
    <w:rsid w:val="00407DF0"/>
    <w:rsid w:val="0043550B"/>
    <w:rsid w:val="0045181A"/>
    <w:rsid w:val="004809E8"/>
    <w:rsid w:val="004C4985"/>
    <w:rsid w:val="00516ECD"/>
    <w:rsid w:val="0052020B"/>
    <w:rsid w:val="005254FE"/>
    <w:rsid w:val="00566C52"/>
    <w:rsid w:val="00576C2F"/>
    <w:rsid w:val="00595538"/>
    <w:rsid w:val="005975FC"/>
    <w:rsid w:val="005A1E61"/>
    <w:rsid w:val="005B2597"/>
    <w:rsid w:val="005C1842"/>
    <w:rsid w:val="005E3C44"/>
    <w:rsid w:val="00607E3E"/>
    <w:rsid w:val="006242F7"/>
    <w:rsid w:val="0063133E"/>
    <w:rsid w:val="006353BE"/>
    <w:rsid w:val="00651D3D"/>
    <w:rsid w:val="006757FA"/>
    <w:rsid w:val="0069261A"/>
    <w:rsid w:val="00692F15"/>
    <w:rsid w:val="006A4912"/>
    <w:rsid w:val="006B28ED"/>
    <w:rsid w:val="006C5B50"/>
    <w:rsid w:val="0073428A"/>
    <w:rsid w:val="00763FC3"/>
    <w:rsid w:val="00785464"/>
    <w:rsid w:val="007A2036"/>
    <w:rsid w:val="00805783"/>
    <w:rsid w:val="00807C9D"/>
    <w:rsid w:val="00843137"/>
    <w:rsid w:val="00876FB7"/>
    <w:rsid w:val="00933E53"/>
    <w:rsid w:val="00994755"/>
    <w:rsid w:val="009F16C5"/>
    <w:rsid w:val="00A12F08"/>
    <w:rsid w:val="00A13C23"/>
    <w:rsid w:val="00A372E0"/>
    <w:rsid w:val="00A84774"/>
    <w:rsid w:val="00AD5213"/>
    <w:rsid w:val="00B56A1C"/>
    <w:rsid w:val="00B656C6"/>
    <w:rsid w:val="00B774FC"/>
    <w:rsid w:val="00BC643E"/>
    <w:rsid w:val="00BF1073"/>
    <w:rsid w:val="00BF3490"/>
    <w:rsid w:val="00C33492"/>
    <w:rsid w:val="00C43290"/>
    <w:rsid w:val="00CE4C98"/>
    <w:rsid w:val="00CE6411"/>
    <w:rsid w:val="00D25320"/>
    <w:rsid w:val="00D45DAE"/>
    <w:rsid w:val="00DB008B"/>
    <w:rsid w:val="00DE1C06"/>
    <w:rsid w:val="00E26CC4"/>
    <w:rsid w:val="00E33862"/>
    <w:rsid w:val="00ED2464"/>
    <w:rsid w:val="00ED6522"/>
    <w:rsid w:val="00EF0AFA"/>
    <w:rsid w:val="00F119EB"/>
    <w:rsid w:val="00F35084"/>
    <w:rsid w:val="00F55C93"/>
    <w:rsid w:val="00FC7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B5A0"/>
  <w15:chartTrackingRefBased/>
  <w15:docId w15:val="{2CE7EF45-6C84-420A-A983-F60A34F0C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4F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74FC"/>
    <w:rPr>
      <w:b/>
      <w:bCs/>
    </w:rPr>
  </w:style>
  <w:style w:type="character" w:styleId="FootnoteReference">
    <w:name w:val="footnote reference"/>
    <w:basedOn w:val="DefaultParagraphFont"/>
    <w:uiPriority w:val="99"/>
    <w:semiHidden/>
    <w:unhideWhenUsed/>
    <w:rsid w:val="0003740B"/>
    <w:rPr>
      <w:vertAlign w:val="superscript"/>
    </w:rPr>
  </w:style>
  <w:style w:type="character" w:styleId="Hyperlink">
    <w:name w:val="Hyperlink"/>
    <w:basedOn w:val="DefaultParagraphFont"/>
    <w:uiPriority w:val="99"/>
    <w:semiHidden/>
    <w:unhideWhenUsed/>
    <w:rsid w:val="0003740B"/>
    <w:rPr>
      <w:color w:val="0563C1" w:themeColor="hyperlink"/>
      <w:u w:val="single"/>
    </w:rPr>
  </w:style>
  <w:style w:type="paragraph" w:styleId="Footer">
    <w:name w:val="footer"/>
    <w:basedOn w:val="Normal"/>
    <w:link w:val="FooterChar"/>
    <w:uiPriority w:val="99"/>
    <w:unhideWhenUsed/>
    <w:rsid w:val="0003740B"/>
    <w:pPr>
      <w:tabs>
        <w:tab w:val="center" w:pos="4320"/>
        <w:tab w:val="right" w:pos="864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03740B"/>
  </w:style>
  <w:style w:type="paragraph" w:styleId="ListParagraph">
    <w:name w:val="List Paragraph"/>
    <w:basedOn w:val="Normal"/>
    <w:uiPriority w:val="34"/>
    <w:qFormat/>
    <w:rsid w:val="0003740B"/>
    <w:pPr>
      <w:ind w:left="720"/>
      <w:contextualSpacing/>
    </w:pPr>
  </w:style>
  <w:style w:type="paragraph" w:styleId="Caption">
    <w:name w:val="caption"/>
    <w:basedOn w:val="Normal"/>
    <w:next w:val="Normal"/>
    <w:uiPriority w:val="35"/>
    <w:unhideWhenUsed/>
    <w:qFormat/>
    <w:rsid w:val="005E3C4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405792">
      <w:bodyDiv w:val="1"/>
      <w:marLeft w:val="0"/>
      <w:marRight w:val="0"/>
      <w:marTop w:val="0"/>
      <w:marBottom w:val="0"/>
      <w:divBdr>
        <w:top w:val="none" w:sz="0" w:space="0" w:color="auto"/>
        <w:left w:val="none" w:sz="0" w:space="0" w:color="auto"/>
        <w:bottom w:val="none" w:sz="0" w:space="0" w:color="auto"/>
        <w:right w:val="none" w:sz="0" w:space="0" w:color="auto"/>
      </w:divBdr>
    </w:div>
    <w:div w:id="179421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liu.6544@osu.edu" TargetMode="External"/><Relationship Id="rId1" Type="http://schemas.openxmlformats.org/officeDocument/2006/relationships/hyperlink" Target="mailto:miller.81@osu.edu"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u.6544\Documents\GitHub\transfer\doc\APC-GTF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hour_headway!$B$12:$Y$12</c:f>
              <c:numCache>
                <c:formatCode>General</c:formatCode>
                <c:ptCount val="24"/>
                <c:pt idx="0">
                  <c:v>0</c:v>
                </c:pt>
                <c:pt idx="1">
                  <c:v>0</c:v>
                </c:pt>
                <c:pt idx="2">
                  <c:v>0</c:v>
                </c:pt>
                <c:pt idx="3">
                  <c:v>0</c:v>
                </c:pt>
                <c:pt idx="4">
                  <c:v>701.68050541516197</c:v>
                </c:pt>
                <c:pt idx="5">
                  <c:v>879.87592182890796</c:v>
                </c:pt>
                <c:pt idx="6">
                  <c:v>751.18209215862998</c:v>
                </c:pt>
                <c:pt idx="7">
                  <c:v>734.22597359184294</c:v>
                </c:pt>
                <c:pt idx="8">
                  <c:v>804.48130478516998</c:v>
                </c:pt>
                <c:pt idx="9">
                  <c:v>804.61872085078505</c:v>
                </c:pt>
                <c:pt idx="10">
                  <c:v>803.99611928714205</c:v>
                </c:pt>
                <c:pt idx="11">
                  <c:v>803.44620438812603</c:v>
                </c:pt>
                <c:pt idx="12">
                  <c:v>799.45409044866801</c:v>
                </c:pt>
                <c:pt idx="13">
                  <c:v>850.81037661311495</c:v>
                </c:pt>
                <c:pt idx="14">
                  <c:v>761.00325538494894</c:v>
                </c:pt>
                <c:pt idx="15">
                  <c:v>1031.50618725192</c:v>
                </c:pt>
                <c:pt idx="16">
                  <c:v>1083.4075933106501</c:v>
                </c:pt>
                <c:pt idx="17">
                  <c:v>799.62777498744299</c:v>
                </c:pt>
                <c:pt idx="18">
                  <c:v>827.42985986662302</c:v>
                </c:pt>
                <c:pt idx="19">
                  <c:v>836.66087742518596</c:v>
                </c:pt>
                <c:pt idx="20">
                  <c:v>956.13742321925895</c:v>
                </c:pt>
                <c:pt idx="21">
                  <c:v>1018.39326257986</c:v>
                </c:pt>
                <c:pt idx="22">
                  <c:v>1215.5579217536001</c:v>
                </c:pt>
                <c:pt idx="23">
                  <c:v>1317.50606632515</c:v>
                </c:pt>
              </c:numCache>
            </c:numRef>
          </c:xVal>
          <c:yVal>
            <c:numRef>
              <c:f>hour_headway!$B$17:$Y$17</c:f>
              <c:numCache>
                <c:formatCode>General</c:formatCode>
                <c:ptCount val="24"/>
                <c:pt idx="0">
                  <c:v>0</c:v>
                </c:pt>
                <c:pt idx="1">
                  <c:v>0</c:v>
                </c:pt>
                <c:pt idx="2">
                  <c:v>0</c:v>
                </c:pt>
                <c:pt idx="3">
                  <c:v>0</c:v>
                </c:pt>
                <c:pt idx="4">
                  <c:v>693.10198300283196</c:v>
                </c:pt>
                <c:pt idx="5">
                  <c:v>879.86374279538904</c:v>
                </c:pt>
                <c:pt idx="6">
                  <c:v>752.38215881605299</c:v>
                </c:pt>
                <c:pt idx="7">
                  <c:v>734.40990534734999</c:v>
                </c:pt>
                <c:pt idx="8">
                  <c:v>804.37340847422195</c:v>
                </c:pt>
                <c:pt idx="9">
                  <c:v>805.86354054635399</c:v>
                </c:pt>
                <c:pt idx="10">
                  <c:v>804.39411000432995</c:v>
                </c:pt>
                <c:pt idx="11">
                  <c:v>804.35678776290604</c:v>
                </c:pt>
                <c:pt idx="12">
                  <c:v>801.72590061843096</c:v>
                </c:pt>
                <c:pt idx="13">
                  <c:v>854.138470033555</c:v>
                </c:pt>
                <c:pt idx="14">
                  <c:v>762.49331761006295</c:v>
                </c:pt>
                <c:pt idx="15">
                  <c:v>1032.12843829851</c:v>
                </c:pt>
                <c:pt idx="16">
                  <c:v>1079.8516670132301</c:v>
                </c:pt>
                <c:pt idx="17">
                  <c:v>804.36733193663395</c:v>
                </c:pt>
                <c:pt idx="18">
                  <c:v>834.49965992178204</c:v>
                </c:pt>
                <c:pt idx="19">
                  <c:v>837.98137199699704</c:v>
                </c:pt>
                <c:pt idx="20">
                  <c:v>955.61531651173004</c:v>
                </c:pt>
                <c:pt idx="21">
                  <c:v>1019.1230875682299</c:v>
                </c:pt>
                <c:pt idx="22">
                  <c:v>1219.6439181051701</c:v>
                </c:pt>
                <c:pt idx="23">
                  <c:v>1310.9173391064701</c:v>
                </c:pt>
              </c:numCache>
            </c:numRef>
          </c:yVal>
          <c:smooth val="0"/>
          <c:extLst>
            <c:ext xmlns:c16="http://schemas.microsoft.com/office/drawing/2014/chart" uri="{C3380CC4-5D6E-409C-BE32-E72D297353CC}">
              <c16:uniqueId val="{00000000-AB5F-4178-9452-6BAC6A95B5AE}"/>
            </c:ext>
          </c:extLst>
        </c:ser>
        <c:dLbls>
          <c:showLegendKey val="0"/>
          <c:showVal val="0"/>
          <c:showCatName val="0"/>
          <c:showSerName val="0"/>
          <c:showPercent val="0"/>
          <c:showBubbleSize val="0"/>
        </c:dLbls>
        <c:axId val="336428560"/>
        <c:axId val="336430224"/>
      </c:scatterChart>
      <c:valAx>
        <c:axId val="336428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Hourly average headway</a:t>
                </a:r>
                <a:r>
                  <a:rPr lang="en-US" altLang="zh-CN" baseline="0"/>
                  <a:t> of both receiving and generating trips (seconds) </a:t>
                </a:r>
                <a:endParaRPr lang="en-US"/>
              </a:p>
            </c:rich>
          </c:tx>
          <c:layout>
            <c:manualLayout>
              <c:xMode val="edge"/>
              <c:yMode val="edge"/>
              <c:x val="0.16597790901137358"/>
              <c:y val="0.8968988764044943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430224"/>
        <c:crosses val="autoZero"/>
        <c:crossBetween val="midCat"/>
      </c:valAx>
      <c:valAx>
        <c:axId val="33643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Hourly</a:t>
                </a:r>
                <a:r>
                  <a:rPr lang="en-US" baseline="0"/>
                  <a:t> average h</a:t>
                </a:r>
                <a:r>
                  <a:rPr lang="en-US"/>
                  <a:t>eadway</a:t>
                </a:r>
                <a:r>
                  <a:rPr lang="en-US" baseline="0"/>
                  <a:t> of receiving trips alone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428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AC290-FAD7-47DE-B80C-06D6F7E92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4</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66</cp:revision>
  <dcterms:created xsi:type="dcterms:W3CDTF">2020-03-03T17:10:00Z</dcterms:created>
  <dcterms:modified xsi:type="dcterms:W3CDTF">2020-03-05T16:01:00Z</dcterms:modified>
</cp:coreProperties>
</file>