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3A8B15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system on-time performance and delays</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transit real-time</w:t>
      </w:r>
      <w:r w:rsidR="00A87E72">
        <w:rPr>
          <w:rFonts w:ascii="Times New Roman" w:eastAsia="Yu Mincho" w:hAnsi="Times New Roman" w:cs="Times New Roman"/>
          <w:sz w:val="24"/>
          <w:szCs w:val="24"/>
          <w:lang w:eastAsia="ja-JP"/>
        </w:rPr>
        <w:t xml:space="preserve"> 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bookmarkStart w:id="0" w:name="_GoBack"/>
      <w:bookmarkEnd w:id="0"/>
      <w:r w:rsidR="00231898">
        <w:rPr>
          <w:rFonts w:ascii="Times New Roman" w:eastAsia="Yu Mincho" w:hAnsi="Times New Roman" w:cs="Times New Roman"/>
          <w:sz w:val="24"/>
          <w:szCs w:val="24"/>
          <w:lang w:eastAsia="ja-JP"/>
        </w:rPr>
        <w:t>.</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w:t>
      </w:r>
      <w:r>
        <w:rPr>
          <w:rFonts w:ascii="Times New Roman" w:eastAsia="Yu Mincho" w:hAnsi="Times New Roman" w:cs="Times New Roman"/>
          <w:sz w:val="24"/>
          <w:szCs w:val="24"/>
          <w:lang w:eastAsia="ja-JP"/>
        </w:rPr>
        <w:lastRenderedPageBreak/>
        <w:t xml:space="preserve">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Literature review</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have heterogeneous, study-specific data sources that may be difficult to reproduce in other settings.  </w:t>
      </w:r>
    </w:p>
    <w:p w14:paraId="25138C45" w14:textId="1B6989E5" w:rsidR="00491109" w:rsidRPr="00695342" w:rsidRDefault="00491109" w:rsidP="0049110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lastRenderedPageBreak/>
        <w:t>Another issue is that most traditional data are expensive and time-consuming to collect. For example, Guo and Wilson (2011) create and maintain 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(Bovy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5EF1DACF"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Big Data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C11D8">
        <w:rPr>
          <w:rFonts w:ascii="Times New Roman" w:hAnsi="Times New Roman" w:cs="Times New Roman"/>
          <w:i/>
          <w:iCs/>
          <w:sz w:val="24"/>
          <w:szCs w:val="24"/>
        </w:rPr>
        <w:t>Big Data</w:t>
      </w:r>
      <w:r w:rsidR="009E2D3B">
        <w:rPr>
          <w:rFonts w:ascii="Times New Roman" w:hAnsi="Times New Roman" w:cs="Times New Roman"/>
          <w:sz w:val="24"/>
          <w:szCs w:val="24"/>
        </w:rPr>
        <w:t xml:space="preserve"> is diverse under different circumstances and for different areas.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15C4D2C9"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 big data hard to work 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59BDE06F"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w:t>
      </w:r>
      <w:r w:rsidR="007009F8">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7777777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data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w:t>
      </w:r>
      <w:r w:rsidR="00491109">
        <w:rPr>
          <w:rFonts w:ascii="Times New Roman" w:eastAsia="Yu Mincho" w:hAnsi="Times New Roman" w:cs="Times New Roman"/>
          <w:sz w:val="24"/>
          <w:szCs w:val="24"/>
          <w:lang w:eastAsia="ja-JP"/>
        </w:rPr>
        <w:lastRenderedPageBreak/>
        <w:t xml:space="preserve">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Some research analyze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0BA80770"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For example, Nesheli et al. (2015) developed a system performance-indicator model and built an agent-based model to simulate real-time performance. The study used GTFS schedule and OpenStreet map data, demand data derived from survey, and PT vehicles data to develop a real-time optimization system. However, due to the lack of real-time data, these studies still concentrated on building the statistic models and simulations.</w:t>
      </w:r>
    </w:p>
    <w:p w14:paraId="697623B9" w14:textId="336489D8"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w:t>
      </w:r>
      <w:r w:rsidR="00491109">
        <w:rPr>
          <w:rFonts w:ascii="Times New Roman" w:hAnsi="Times New Roman" w:cs="Times New Roman"/>
          <w:sz w:val="24"/>
          <w:szCs w:val="24"/>
        </w:rPr>
        <w:lastRenderedPageBreak/>
        <w:t xml:space="preserve">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Hadas and Ranjitkar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bookmarkStart w:id="1"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1"/>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Pr="00D5271F"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We can further conceptualize transfers as a process of synchronization among: i)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1E08FEAC" w:rsidR="00491109" w:rsidRDefault="008570B5" w:rsidP="00491109">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695342">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w:t>
      </w:r>
      <w:r w:rsidR="003A25E3">
        <w:rPr>
          <w:rFonts w:ascii="Times New Roman" w:hAnsi="Times New Roman" w:cs="Times New Roman"/>
          <w:sz w:val="24"/>
          <w:szCs w:val="24"/>
        </w:rPr>
        <w:lastRenderedPageBreak/>
        <w:t>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2" w:name="_Ref19453691"/>
            <w:bookmarkStart w:id="3"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2"/>
            <w:r>
              <w:rPr>
                <w:rFonts w:ascii="Times New Roman" w:eastAsia="Yu Mincho" w:hAnsi="Times New Roman" w:cs="Times New Roman"/>
                <w:sz w:val="24"/>
                <w:szCs w:val="24"/>
                <w:lang w:eastAsia="ja-JP"/>
              </w:rPr>
              <w:t>)</w:t>
            </w:r>
            <w:bookmarkEnd w:id="3"/>
          </w:p>
        </w:tc>
      </w:tr>
    </w:tbl>
    <w:p w14:paraId="06A5D7DA" w14:textId="77777777" w:rsidR="005C247B" w:rsidRDefault="005C247B"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491109">
        <w:rPr>
          <w:rFonts w:ascii="Times New Roman" w:hAnsi="Times New Roman" w:cs="Times New Roman"/>
          <w:sz w:val="24"/>
          <w:szCs w:val="24"/>
        </w:rPr>
        <w:t>here</w:t>
      </w:r>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The index is applied to both schedule-based and headway-based system</w:t>
      </w:r>
      <w:r w:rsidR="002A2652">
        <w:rPr>
          <w:rFonts w:ascii="Times New Roman" w:eastAsia="Yu Mincho" w:hAnsi="Times New Roman" w:cs="Times New Roman"/>
          <w:sz w:val="24"/>
          <w:szCs w:val="24"/>
          <w:lang w:eastAsia="ja-JP"/>
        </w:rPr>
        <w:t>s;</w:t>
      </w:r>
      <w:r w:rsidR="002A2652">
        <w:rPr>
          <w:rFonts w:ascii="Times New Roman" w:eastAsia="Yu Mincho" w:hAnsi="Times New Roman" w:cs="Times New Roman"/>
          <w:sz w:val="24"/>
          <w:szCs w:val="24"/>
          <w:lang w:eastAsia="ja-JP"/>
        </w:rPr>
        <w:t xml:space="preserve"> however, due to GTFS</w:t>
      </w:r>
      <w:r w:rsidR="002A2652">
        <w:rPr>
          <w:rFonts w:ascii="Times New Roman" w:eastAsia="Yu Mincho" w:hAnsi="Times New Roman" w:cs="Times New Roman"/>
          <w:sz w:val="24"/>
          <w:szCs w:val="24"/>
          <w:lang w:eastAsia="ja-JP"/>
        </w:rPr>
        <w:t xml:space="preserve">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bookmarkStart w:id="4"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5"/>
      <w:commentRangeStart w:id="6"/>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5"/>
      <w:r w:rsidR="00CC63C1">
        <w:rPr>
          <w:rStyle w:val="CommentReference"/>
        </w:rPr>
        <w:commentReference w:id="5"/>
      </w:r>
      <w:commentRangeEnd w:id="6"/>
      <w:r w:rsidR="00542F21">
        <w:rPr>
          <w:rStyle w:val="CommentReference"/>
        </w:rPr>
        <w:commentReference w:id="6"/>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w:t>
      </w:r>
      <w:r>
        <w:rPr>
          <w:rFonts w:ascii="Times New Roman" w:eastAsia="Yu Mincho" w:hAnsi="Times New Roman" w:cs="Times New Roman"/>
          <w:sz w:val="24"/>
          <w:szCs w:val="24"/>
          <w:lang w:eastAsia="ja-JP"/>
        </w:rPr>
        <w:lastRenderedPageBreak/>
        <w:t>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7"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7"/>
    </w:p>
    <w:p w14:paraId="6A85EF05" w14:textId="1D713CAE" w:rsidR="00491109" w:rsidRDefault="00491109" w:rsidP="00491109">
      <w:pPr>
        <w:spacing w:line="240" w:lineRule="auto"/>
        <w:jc w:val="center"/>
        <w:rPr>
          <w:rFonts w:ascii="Times New Roman" w:hAnsi="Times New Roman" w:cs="Times New Roman"/>
          <w:sz w:val="24"/>
          <w:szCs w:val="24"/>
        </w:rPr>
      </w:pPr>
      <w:bookmarkStart w:id="8"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bookmarkEnd w:id="8"/>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 xml:space="preserve">Correspondingly, we have to search empirically for possible transfers from the GTFS static </w:t>
      </w:r>
      <w:r>
        <w:rPr>
          <w:rFonts w:ascii="Times New Roman" w:hAnsi="Times New Roman" w:cs="Times New Roman"/>
          <w:sz w:val="24"/>
          <w:szCs w:val="24"/>
        </w:rPr>
        <w:lastRenderedPageBreak/>
        <w:t>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9"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9"/>
          </w:p>
        </w:tc>
      </w:tr>
    </w:tbl>
    <w:p w14:paraId="7555C745" w14:textId="312E641F" w:rsidR="00491109" w:rsidRDefault="00695342"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235284B2" w14:textId="77777777" w:rsidR="00EE48E5"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B132C5" w:rsidRPr="00A563CC">
        <w:rPr>
          <w:rFonts w:ascii="Times New Roman" w:hAnsi="Times New Roman" w:cs="Times New Roman"/>
          <w:sz w:val="24"/>
          <w:szCs w:val="24"/>
        </w:rPr>
        <w:t xml:space="preserve">broad patterns. </w:t>
      </w:r>
      <w:r w:rsidR="00E22DA2" w:rsidRPr="00A563CC">
        <w:rPr>
          <w:rFonts w:ascii="Times New Roman" w:hAnsi="Times New Roman" w:cs="Times New Roman"/>
          <w:sz w:val="24"/>
          <w:szCs w:val="24"/>
        </w:rPr>
        <w:t>I</w:t>
      </w:r>
      <w:r w:rsidR="00BC07B9" w:rsidRPr="00A563CC">
        <w:rPr>
          <w:rFonts w:ascii="Times New Roman" w:hAnsi="Times New Roman" w:cs="Times New Roman"/>
          <w:sz w:val="24"/>
          <w:szCs w:val="24"/>
        </w:rPr>
        <w:t xml:space="preserve">n the application level, users can query each transfer’s </w:t>
      </w:r>
      <w:r w:rsidR="00BC07B9" w:rsidRPr="00A563CC">
        <w:rPr>
          <w:rFonts w:ascii="Times New Roman" w:hAnsi="Times New Roman" w:cs="Times New Roman"/>
          <w:sz w:val="24"/>
          <w:szCs w:val="24"/>
        </w:rPr>
        <w:lastRenderedPageBreak/>
        <w:t xml:space="preserve">performance </w:t>
      </w:r>
      <w:r w:rsidR="00E22DA2" w:rsidRPr="00A563CC">
        <w:rPr>
          <w:rFonts w:ascii="Times New Roman" w:hAnsi="Times New Roman" w:cs="Times New Roman"/>
          <w:sz w:val="24"/>
          <w:szCs w:val="24"/>
        </w:rPr>
        <w:t xml:space="preserve">in their real-time transit apps </w:t>
      </w:r>
      <w:r w:rsidR="00BC07B9" w:rsidRPr="00A563CC">
        <w:rPr>
          <w:rFonts w:ascii="Times New Roman" w:hAnsi="Times New Roman" w:cs="Times New Roman"/>
          <w:sz w:val="24"/>
          <w:szCs w:val="24"/>
        </w:rPr>
        <w:t>and react real-timely; in the operation level, administrators can check the high risk and high time penalty areas and response real-timely; in the management level, traffic and city planners can gain empirical spatiotemporal patterns and design accordingly</w:t>
      </w:r>
      <w:r w:rsidR="00E22DA2" w:rsidRPr="00A563CC">
        <w:rPr>
          <w:rFonts w:ascii="Times New Roman" w:hAnsi="Times New Roman" w:cs="Times New Roman"/>
          <w:sz w:val="24"/>
          <w:szCs w:val="24"/>
        </w:rPr>
        <w:t xml:space="preserve">; in the </w:t>
      </w:r>
      <w:r w:rsidR="00F32C97">
        <w:rPr>
          <w:rFonts w:ascii="Times New Roman" w:hAnsi="Times New Roman" w:cs="Times New Roman"/>
          <w:sz w:val="24"/>
          <w:szCs w:val="24"/>
        </w:rPr>
        <w:t>policy-making</w:t>
      </w:r>
      <w:r w:rsidR="00E22DA2" w:rsidRPr="00A563CC">
        <w:rPr>
          <w:rFonts w:ascii="Times New Roman" w:hAnsi="Times New Roman" w:cs="Times New Roman"/>
          <w:sz w:val="24"/>
          <w:szCs w:val="24"/>
        </w:rPr>
        <w:t xml:space="preserve"> level,</w:t>
      </w:r>
      <w:r w:rsidR="00B132C5" w:rsidRPr="00A563CC">
        <w:rPr>
          <w:rFonts w:ascii="Times New Roman" w:hAnsi="Times New Roman" w:cs="Times New Roman"/>
          <w:sz w:val="24"/>
          <w:szCs w:val="24"/>
        </w:rPr>
        <w:t xml:space="preserve"> policy maker</w:t>
      </w:r>
      <w:r w:rsidR="00E22DA2" w:rsidRPr="00A563CC">
        <w:rPr>
          <w:rFonts w:ascii="Times New Roman" w:hAnsi="Times New Roman" w:cs="Times New Roman"/>
          <w:sz w:val="24"/>
          <w:szCs w:val="24"/>
        </w:rPr>
        <w:t>s</w:t>
      </w:r>
      <w:r w:rsidR="00B132C5" w:rsidRPr="00A563CC">
        <w:rPr>
          <w:rFonts w:ascii="Times New Roman" w:hAnsi="Times New Roman" w:cs="Times New Roman"/>
          <w:sz w:val="24"/>
          <w:szCs w:val="24"/>
        </w:rPr>
        <w:t xml:space="preserve"> may want to compare different PT systems’ transfer real-time performance across the US.</w:t>
      </w:r>
      <w:r w:rsidR="00955A21">
        <w:rPr>
          <w:rFonts w:ascii="Times New Roman" w:hAnsi="Times New Roman" w:cs="Times New Roman"/>
          <w:sz w:val="24"/>
          <w:szCs w:val="24"/>
        </w:rPr>
        <w:t xml:space="preserve"> </w:t>
      </w:r>
    </w:p>
    <w:p w14:paraId="6E915CA2" w14:textId="6117F339" w:rsidR="00361813" w:rsidRPr="00A563CC" w:rsidRDefault="00361813" w:rsidP="00EE48E5">
      <w:pPr>
        <w:spacing w:line="240" w:lineRule="auto"/>
        <w:ind w:firstLine="720"/>
        <w:jc w:val="both"/>
        <w:rPr>
          <w:rFonts w:ascii="Times New Roman" w:eastAsia="Yu Mincho" w:hAnsi="Times New Roman" w:cs="Times New Roman"/>
          <w:sz w:val="24"/>
          <w:szCs w:val="24"/>
          <w:lang w:eastAsia="ja-JP"/>
        </w:rPr>
      </w:pPr>
      <w:r w:rsidRPr="00A563CC">
        <w:rPr>
          <w:rFonts w:ascii="Times New Roman" w:eastAsia="Yu Mincho" w:hAnsi="Times New Roman" w:cs="Times New Roman"/>
          <w:sz w:val="24"/>
          <w:szCs w:val="24"/>
          <w:lang w:eastAsia="ja-JP"/>
        </w:rPr>
        <w:t>A</w:t>
      </w:r>
      <w:r w:rsidR="00F32C97">
        <w:rPr>
          <w:rFonts w:ascii="Times New Roman" w:eastAsia="Yu Mincho" w:hAnsi="Times New Roman" w:cs="Times New Roman"/>
          <w:sz w:val="24"/>
          <w:szCs w:val="24"/>
          <w:lang w:eastAsia="ja-JP"/>
        </w:rPr>
        <w:t>nother</w:t>
      </w:r>
      <w:r w:rsidRPr="00A563CC">
        <w:rPr>
          <w:rFonts w:ascii="Times New Roman" w:eastAsia="Yu Mincho" w:hAnsi="Times New Roman" w:cs="Times New Roman"/>
          <w:sz w:val="24"/>
          <w:szCs w:val="24"/>
          <w:lang w:eastAsia="ja-JP"/>
        </w:rPr>
        <w:t xml:space="preserve"> major advantage of the measures and the system is that: they can be easily implemented and applied to any PT system with published GTFS scheduled and real-time data</w:t>
      </w:r>
      <w:r w:rsidR="004E216B">
        <w:rPr>
          <w:rFonts w:ascii="Times New Roman" w:eastAsia="Yu Mincho" w:hAnsi="Times New Roman" w:cs="Times New Roman"/>
          <w:sz w:val="24"/>
          <w:szCs w:val="24"/>
          <w:lang w:eastAsia="ja-JP"/>
        </w:rPr>
        <w:t xml:space="preserve"> without major modification. </w:t>
      </w: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18CC02CB" w14:textId="77247F9C" w:rsidR="00A52740" w:rsidRDefault="00A52740" w:rsidP="00F46FD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conducted a case study with GTFS data from Central Ohio Transit Authority (COTA) bus system in Columbus, Ohio from February 2018 to February 2019. We acquired these data using the COTA application programming interface and archived these data for analysis in a MongoDB database. Using various aggregation methods, we can develop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77777777" w:rsidR="00AA6E76" w:rsidRDefault="00AA6E76" w:rsidP="00AA6E76">
      <w:pPr>
        <w:spacing w:line="240" w:lineRule="auto"/>
        <w:jc w:val="center"/>
        <w:rPr>
          <w:rFonts w:ascii="Times New Roman" w:hAnsi="Times New Roman" w:cs="Times New Roman"/>
          <w:sz w:val="24"/>
          <w:szCs w:val="24"/>
        </w:rPr>
      </w:pPr>
      <w:bookmarkStart w:id="10"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Spatial pattern of TR (in percentage)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77777777" w:rsidR="00AA6E76" w:rsidRDefault="00AA6E76" w:rsidP="00AA6E76">
      <w:pPr>
        <w:spacing w:line="240" w:lineRule="auto"/>
        <w:jc w:val="center"/>
        <w:rPr>
          <w:rFonts w:ascii="Times New Roman" w:eastAsia="Yu Mincho" w:hAnsi="Times New Roman" w:cs="Times New Roman"/>
          <w:sz w:val="24"/>
          <w:szCs w:val="24"/>
          <w:lang w:eastAsia="ja-JP"/>
        </w:rPr>
      </w:pPr>
      <w:bookmarkStart w:id="11"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Spatial Pattern of ATTP (in minutes</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bookmarkStart w:id="12"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Friday)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bookmarkStart w:id="13"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bookmarkStart w:id="14"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bookmarkStart w:id="15"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64E74E83"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Frequent transfers: among all the routes, route No. 2 has XXX transfers.</w:t>
      </w:r>
    </w:p>
    <w:p w14:paraId="73257D11"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Columbus with the downtown area, whose line span a major part of the city.</w:t>
      </w:r>
    </w:p>
    <w:p w14:paraId="003BEDBD"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p>
    <w:p w14:paraId="161C292E" w14:textId="370031E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High temporal frequency: route No. 2 has </w:t>
      </w:r>
      <w:r w:rsidR="00EB36E9">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shortest intervals (10 – 15 minutes for standard schedule) among the bus routes in COTA system.</w:t>
      </w:r>
    </w:p>
    <w:p w14:paraId="5164820F"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Then we assume all the buses running on this route behave as the GTFS static scheduled (i.e., no delay). We analyzed TR and ATTP’s changing trend before and after applying the assumption and the difference’s spatial and temporal pattern.</w:t>
      </w:r>
    </w:p>
    <w:p w14:paraId="6F752DE2" w14:textId="40CE9294"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bookmarkStart w:id="16"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bookmarkEnd w:id="16"/>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According to Equation</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which represents the desynchronization penalty</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 xml:space="preserve">As we combined the two classes of </w:t>
      </w:r>
      <w:r w:rsidR="007A5860">
        <w:rPr>
          <w:rFonts w:ascii="Times New Roman" w:eastAsia="Yu Mincho" w:hAnsi="Times New Roman" w:cs="Times New Roman"/>
          <w:sz w:val="24"/>
          <w:szCs w:val="24"/>
          <w:lang w:eastAsia="ja-JP"/>
        </w:rPr>
        <w:t>transfers</w:t>
      </w:r>
      <w:r w:rsidR="007A5860">
        <w:rPr>
          <w:rFonts w:ascii="Times New Roman" w:eastAsia="Yu Mincho" w:hAnsi="Times New Roman" w:cs="Times New Roman"/>
          <w:sz w:val="24"/>
          <w:szCs w:val="24"/>
          <w:lang w:eastAsia="ja-JP"/>
        </w:rPr>
        <w:t>,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Pr="00B257BE" w:rsidRDefault="00491109" w:rsidP="00491109">
      <w:pPr>
        <w:spacing w:line="240" w:lineRule="auto"/>
        <w:jc w:val="center"/>
        <w:rPr>
          <w:rFonts w:ascii="Times New Roman" w:hAnsi="Times New Roman" w:cs="Times New Roman"/>
          <w:sz w:val="24"/>
          <w:szCs w:val="24"/>
        </w:rPr>
      </w:pPr>
      <w:bookmarkStart w:id="17"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bookmarkStart w:id="18"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8"/>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 xml:space="preserve">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w:t>
      </w:r>
      <w:r w:rsidR="001C3C4B">
        <w:rPr>
          <w:rFonts w:ascii="Times New Roman" w:eastAsia="Yu Mincho" w:hAnsi="Times New Roman" w:cs="Times New Roman"/>
          <w:sz w:val="24"/>
          <w:szCs w:val="24"/>
          <w:lang w:eastAsia="ja-JP"/>
        </w:rPr>
        <w:t xml:space="preserve">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2AFE88F6"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19"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We also conclude that it is 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w:t>
      </w:r>
      <w:r w:rsidR="00CC63AF">
        <w:rPr>
          <w:rFonts w:ascii="Times New Roman" w:eastAsia="Yu Mincho" w:hAnsi="Times New Roman" w:cs="Times New Roman"/>
          <w:sz w:val="24"/>
          <w:szCs w:val="24"/>
          <w:lang w:eastAsia="ja-JP"/>
        </w:rPr>
        <w:t>to reduce ATTP</w:t>
      </w:r>
      <w:r w:rsidR="00CC63AF">
        <w:rPr>
          <w:rFonts w:ascii="Times New Roman" w:eastAsia="Yu Mincho" w:hAnsi="Times New Roman" w:cs="Times New Roman"/>
          <w:sz w:val="24"/>
          <w:szCs w:val="24"/>
          <w:lang w:eastAsia="ja-JP"/>
        </w:rPr>
        <w:t>.</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9"/>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w:t>
      </w:r>
      <w:r>
        <w:rPr>
          <w:rFonts w:ascii="Times New Roman" w:eastAsia="Yu Mincho" w:hAnsi="Times New Roman" w:cs="Times New Roman"/>
          <w:sz w:val="24"/>
          <w:szCs w:val="24"/>
          <w:lang w:eastAsia="ja-JP"/>
        </w:rPr>
        <w:lastRenderedPageBreak/>
        <w:t xml:space="preserve">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33FB23BE" w:rsidR="00491109" w:rsidRDefault="00491109"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1CA867CE" w14:textId="2BFAA72A" w:rsidR="008C2341" w:rsidRPr="008C2341" w:rsidRDefault="00491109"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8C2341" w:rsidRPr="008C2341">
        <w:rPr>
          <w:rFonts w:ascii="Times New Roman" w:hAnsi="Times New Roman" w:cs="Times New Roman"/>
          <w:noProof/>
          <w:sz w:val="24"/>
          <w:szCs w:val="24"/>
        </w:rPr>
        <w:t xml:space="preserve">Algers, S., Hansen, S., &amp; Tegner, G. (1975). Role of waiting time, comfort, and convenience in modal choice for work trip. </w:t>
      </w:r>
      <w:r w:rsidR="008C2341" w:rsidRPr="008C2341">
        <w:rPr>
          <w:rFonts w:ascii="Times New Roman" w:hAnsi="Times New Roman" w:cs="Times New Roman"/>
          <w:i/>
          <w:iCs/>
          <w:noProof/>
          <w:sz w:val="24"/>
          <w:szCs w:val="24"/>
        </w:rPr>
        <w:t>Transportation Research Record</w:t>
      </w:r>
      <w:r w:rsidR="008C2341" w:rsidRPr="008C2341">
        <w:rPr>
          <w:rFonts w:ascii="Times New Roman" w:hAnsi="Times New Roman" w:cs="Times New Roman"/>
          <w:noProof/>
          <w:sz w:val="24"/>
          <w:szCs w:val="24"/>
        </w:rPr>
        <w:t xml:space="preserve">, </w:t>
      </w:r>
      <w:r w:rsidR="008C2341" w:rsidRPr="008C2341">
        <w:rPr>
          <w:rFonts w:ascii="Times New Roman" w:hAnsi="Times New Roman" w:cs="Times New Roman"/>
          <w:i/>
          <w:iCs/>
          <w:noProof/>
          <w:sz w:val="24"/>
          <w:szCs w:val="24"/>
        </w:rPr>
        <w:t>534</w:t>
      </w:r>
      <w:r w:rsidR="008C2341" w:rsidRPr="008C2341">
        <w:rPr>
          <w:rFonts w:ascii="Times New Roman" w:hAnsi="Times New Roman" w:cs="Times New Roman"/>
          <w:noProof/>
          <w:sz w:val="24"/>
          <w:szCs w:val="24"/>
        </w:rPr>
        <w:t>, 38–51.</w:t>
      </w:r>
    </w:p>
    <w:p w14:paraId="03A315E4"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Antrim, A., &amp; Barbeau, S. J. (2013). The many uses of GTFS data–opening the door to transit and multimodal applications. </w:t>
      </w:r>
      <w:r w:rsidRPr="008C2341">
        <w:rPr>
          <w:rFonts w:ascii="Times New Roman" w:hAnsi="Times New Roman" w:cs="Times New Roman"/>
          <w:i/>
          <w:iCs/>
          <w:noProof/>
          <w:sz w:val="24"/>
          <w:szCs w:val="24"/>
        </w:rPr>
        <w:t>Location-Aware Information Systems Laboratory at the University of South Florida</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4</w:t>
      </w:r>
      <w:r w:rsidRPr="008C2341">
        <w:rPr>
          <w:rFonts w:ascii="Times New Roman" w:hAnsi="Times New Roman" w:cs="Times New Roman"/>
          <w:noProof/>
          <w:sz w:val="24"/>
          <w:szCs w:val="24"/>
        </w:rPr>
        <w:t>.</w:t>
      </w:r>
    </w:p>
    <w:p w14:paraId="228B8D51"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Ayed, A. Ben, Halima, M. Ben, &amp; Alimi, A. M. (2015). Big data analytics for logistics and transportation. In </w:t>
      </w:r>
      <w:r w:rsidRPr="008C2341">
        <w:rPr>
          <w:rFonts w:ascii="Times New Roman" w:hAnsi="Times New Roman" w:cs="Times New Roman"/>
          <w:i/>
          <w:iCs/>
          <w:noProof/>
          <w:sz w:val="24"/>
          <w:szCs w:val="24"/>
        </w:rPr>
        <w:t>2015 4th International Conference on Advanced Logistics and Transport (ICALT)</w:t>
      </w:r>
      <w:r w:rsidRPr="008C2341">
        <w:rPr>
          <w:rFonts w:ascii="Times New Roman" w:hAnsi="Times New Roman" w:cs="Times New Roman"/>
          <w:noProof/>
          <w:sz w:val="24"/>
          <w:szCs w:val="24"/>
        </w:rPr>
        <w:t xml:space="preserve"> (pp. 311–316). IEEE.</w:t>
      </w:r>
    </w:p>
    <w:p w14:paraId="5EB92CD3"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8C2341">
        <w:rPr>
          <w:rFonts w:ascii="Times New Roman" w:hAnsi="Times New Roman" w:cs="Times New Roman"/>
          <w:i/>
          <w:iCs/>
          <w:noProof/>
          <w:sz w:val="24"/>
          <w:szCs w:val="24"/>
        </w:rPr>
        <w:t>Proceedings of the First ACM SIGSPATIAL Workshop on Sensor Web Enablement</w:t>
      </w:r>
      <w:r w:rsidRPr="008C2341">
        <w:rPr>
          <w:rFonts w:ascii="Times New Roman" w:hAnsi="Times New Roman" w:cs="Times New Roman"/>
          <w:noProof/>
          <w:sz w:val="24"/>
          <w:szCs w:val="24"/>
        </w:rPr>
        <w:t xml:space="preserve"> (pp. 17–23). ACM.</w:t>
      </w:r>
    </w:p>
    <w:p w14:paraId="00F970AD"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Bamford, C. G., Carrick, R. J., &amp; MacDonald, R. (1984). Public transport surveys: A new effective technique of data collection. </w:t>
      </w:r>
      <w:r w:rsidRPr="008C2341">
        <w:rPr>
          <w:rFonts w:ascii="Times New Roman" w:hAnsi="Times New Roman" w:cs="Times New Roman"/>
          <w:i/>
          <w:iCs/>
          <w:noProof/>
          <w:sz w:val="24"/>
          <w:szCs w:val="24"/>
        </w:rPr>
        <w:t>Traffic Engineering &amp; Control</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25</w:t>
      </w:r>
      <w:r w:rsidRPr="008C2341">
        <w:rPr>
          <w:rFonts w:ascii="Times New Roman" w:hAnsi="Times New Roman" w:cs="Times New Roman"/>
          <w:noProof/>
          <w:sz w:val="24"/>
          <w:szCs w:val="24"/>
        </w:rPr>
        <w:t xml:space="preserve">(HS-037 </w:t>
      </w:r>
      <w:r w:rsidRPr="008C2341">
        <w:rPr>
          <w:rFonts w:ascii="Times New Roman" w:hAnsi="Times New Roman" w:cs="Times New Roman"/>
          <w:noProof/>
          <w:sz w:val="24"/>
          <w:szCs w:val="24"/>
        </w:rPr>
        <w:lastRenderedPageBreak/>
        <w:t>547).</w:t>
      </w:r>
    </w:p>
    <w:p w14:paraId="7C643E0A"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8C2341">
        <w:rPr>
          <w:rFonts w:ascii="Times New Roman" w:hAnsi="Times New Roman" w:cs="Times New Roman"/>
          <w:i/>
          <w:iCs/>
          <w:noProof/>
          <w:sz w:val="24"/>
          <w:szCs w:val="24"/>
        </w:rPr>
        <w:t>Transport Policy</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18</w:t>
      </w:r>
      <w:r w:rsidRPr="008C2341">
        <w:rPr>
          <w:rFonts w:ascii="Times New Roman" w:hAnsi="Times New Roman" w:cs="Times New Roman"/>
          <w:noProof/>
          <w:sz w:val="24"/>
          <w:szCs w:val="24"/>
        </w:rPr>
        <w:t>(5), 676–684.</w:t>
      </w:r>
    </w:p>
    <w:p w14:paraId="2CACF162"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Ceder, A. (2007). </w:t>
      </w:r>
      <w:r w:rsidRPr="008C2341">
        <w:rPr>
          <w:rFonts w:ascii="Times New Roman" w:hAnsi="Times New Roman" w:cs="Times New Roman"/>
          <w:i/>
          <w:iCs/>
          <w:noProof/>
          <w:sz w:val="24"/>
          <w:szCs w:val="24"/>
        </w:rPr>
        <w:t>Public transit planning and operation: Modeling, practice and behavior</w:t>
      </w:r>
      <w:r w:rsidRPr="008C2341">
        <w:rPr>
          <w:rFonts w:ascii="Times New Roman" w:hAnsi="Times New Roman" w:cs="Times New Roman"/>
          <w:noProof/>
          <w:sz w:val="24"/>
          <w:szCs w:val="24"/>
        </w:rPr>
        <w:t>. CRC press.</w:t>
      </w:r>
    </w:p>
    <w:p w14:paraId="01B50343"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Ceder, A., Golany, B., &amp; Tal, O. (2001). Creating bus timetables with maximal synchronization. </w:t>
      </w:r>
      <w:r w:rsidRPr="008C2341">
        <w:rPr>
          <w:rFonts w:ascii="Times New Roman" w:hAnsi="Times New Roman" w:cs="Times New Roman"/>
          <w:i/>
          <w:iCs/>
          <w:noProof/>
          <w:sz w:val="24"/>
          <w:szCs w:val="24"/>
        </w:rPr>
        <w:t>Transportation Research Part A: Policy and Practice</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35</w:t>
      </w:r>
      <w:r w:rsidRPr="008C2341">
        <w:rPr>
          <w:rFonts w:ascii="Times New Roman" w:hAnsi="Times New Roman" w:cs="Times New Roman"/>
          <w:noProof/>
          <w:sz w:val="24"/>
          <w:szCs w:val="24"/>
        </w:rPr>
        <w:t>(10), 913–928.</w:t>
      </w:r>
    </w:p>
    <w:p w14:paraId="184ADFD5"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Chen, M., Mao, S., &amp; Liu, Y. (2014). Big data: A survey. </w:t>
      </w:r>
      <w:r w:rsidRPr="008C2341">
        <w:rPr>
          <w:rFonts w:ascii="Times New Roman" w:hAnsi="Times New Roman" w:cs="Times New Roman"/>
          <w:i/>
          <w:iCs/>
          <w:noProof/>
          <w:sz w:val="24"/>
          <w:szCs w:val="24"/>
        </w:rPr>
        <w:t>Mobile Networks and Applications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19</w:t>
      </w:r>
      <w:r w:rsidRPr="008C2341">
        <w:rPr>
          <w:rFonts w:ascii="Times New Roman" w:hAnsi="Times New Roman" w:cs="Times New Roman"/>
          <w:noProof/>
          <w:sz w:val="24"/>
          <w:szCs w:val="24"/>
        </w:rPr>
        <w:t>(2), 171–209.</w:t>
      </w:r>
    </w:p>
    <w:p w14:paraId="0B79B498"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8C2341">
        <w:rPr>
          <w:rFonts w:ascii="Times New Roman" w:hAnsi="Times New Roman" w:cs="Times New Roman"/>
          <w:i/>
          <w:iCs/>
          <w:noProof/>
          <w:sz w:val="24"/>
          <w:szCs w:val="24"/>
        </w:rPr>
        <w:t>Transportation Research Part C: Emerging Technologies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7</w:t>
      </w:r>
      <w:r w:rsidRPr="008C2341">
        <w:rPr>
          <w:rFonts w:ascii="Times New Roman" w:hAnsi="Times New Roman" w:cs="Times New Roman"/>
          <w:noProof/>
          <w:sz w:val="24"/>
          <w:szCs w:val="24"/>
        </w:rPr>
        <w:t>(4), 187–208.</w:t>
      </w:r>
    </w:p>
    <w:p w14:paraId="5711D6E7"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626E31C9"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8C2341">
        <w:rPr>
          <w:rFonts w:ascii="Times New Roman" w:hAnsi="Times New Roman" w:cs="Times New Roman"/>
          <w:i/>
          <w:iCs/>
          <w:noProof/>
          <w:sz w:val="24"/>
          <w:szCs w:val="24"/>
        </w:rPr>
        <w:t>Transportation Research Record: Journal of the Transportation Research Board</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1872</w:t>
      </w:r>
      <w:r w:rsidRPr="008C2341">
        <w:rPr>
          <w:rFonts w:ascii="Times New Roman" w:hAnsi="Times New Roman" w:cs="Times New Roman"/>
          <w:noProof/>
          <w:sz w:val="24"/>
          <w:szCs w:val="24"/>
        </w:rPr>
        <w:t>(1872), 10–18. https://doi.org/10.3141/1872-02</w:t>
      </w:r>
    </w:p>
    <w:p w14:paraId="3878CC01"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8C2341">
        <w:rPr>
          <w:rFonts w:ascii="Times New Roman" w:hAnsi="Times New Roman" w:cs="Times New Roman"/>
          <w:i/>
          <w:iCs/>
          <w:noProof/>
          <w:sz w:val="24"/>
          <w:szCs w:val="24"/>
        </w:rPr>
        <w:t>Transportation Research Part A: Policy and Practice</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45</w:t>
      </w:r>
      <w:r w:rsidRPr="008C2341">
        <w:rPr>
          <w:rFonts w:ascii="Times New Roman" w:hAnsi="Times New Roman" w:cs="Times New Roman"/>
          <w:noProof/>
          <w:sz w:val="24"/>
          <w:szCs w:val="24"/>
        </w:rPr>
        <w:t>(2), 91–104. https://doi.org/10.1016/j.tra.2010.11.002</w:t>
      </w:r>
    </w:p>
    <w:p w14:paraId="0D370FFE"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Hadas, Y., &amp; Ranjitkar, P. (2012). Modeling public-transit connectivity with spatial quality-of-transfer measurements. </w:t>
      </w:r>
      <w:r w:rsidRPr="008C2341">
        <w:rPr>
          <w:rFonts w:ascii="Times New Roman" w:hAnsi="Times New Roman" w:cs="Times New Roman"/>
          <w:i/>
          <w:iCs/>
          <w:noProof/>
          <w:sz w:val="24"/>
          <w:szCs w:val="24"/>
        </w:rPr>
        <w:t>Journal of Transport Geography</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22</w:t>
      </w:r>
      <w:r w:rsidRPr="008C2341">
        <w:rPr>
          <w:rFonts w:ascii="Times New Roman" w:hAnsi="Times New Roman" w:cs="Times New Roman"/>
          <w:noProof/>
          <w:sz w:val="24"/>
          <w:szCs w:val="24"/>
        </w:rPr>
        <w:t>, 137–147.</w:t>
      </w:r>
    </w:p>
    <w:p w14:paraId="146D3DA5"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Han, A. F. (1987). Assessment of Transfer Penalty to Bus Riders in Taipei: A Disaggregate Demand Modeling Approach. </w:t>
      </w:r>
      <w:r w:rsidRPr="008C2341">
        <w:rPr>
          <w:rFonts w:ascii="Times New Roman" w:hAnsi="Times New Roman" w:cs="Times New Roman"/>
          <w:i/>
          <w:iCs/>
          <w:noProof/>
          <w:sz w:val="24"/>
          <w:szCs w:val="24"/>
        </w:rPr>
        <w:t>Transportation Research Record</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1139</w:t>
      </w:r>
      <w:r w:rsidRPr="008C2341">
        <w:rPr>
          <w:rFonts w:ascii="Times New Roman" w:hAnsi="Times New Roman" w:cs="Times New Roman"/>
          <w:noProof/>
          <w:sz w:val="24"/>
          <w:szCs w:val="24"/>
        </w:rPr>
        <w:t>(Table 1), 8–14.</w:t>
      </w:r>
    </w:p>
    <w:p w14:paraId="3DE2A986"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Hilbert, M. (2016). Big data for development: A review of promises and challenges. </w:t>
      </w:r>
      <w:r w:rsidRPr="008C2341">
        <w:rPr>
          <w:rFonts w:ascii="Times New Roman" w:hAnsi="Times New Roman" w:cs="Times New Roman"/>
          <w:i/>
          <w:iCs/>
          <w:noProof/>
          <w:sz w:val="24"/>
          <w:szCs w:val="24"/>
        </w:rPr>
        <w:t>Development Policy Review</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34</w:t>
      </w:r>
      <w:r w:rsidRPr="008C2341">
        <w:rPr>
          <w:rFonts w:ascii="Times New Roman" w:hAnsi="Times New Roman" w:cs="Times New Roman"/>
          <w:noProof/>
          <w:sz w:val="24"/>
          <w:szCs w:val="24"/>
        </w:rPr>
        <w:t>(1), 135–174.</w:t>
      </w:r>
    </w:p>
    <w:p w14:paraId="3B8E5791"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Hunt, J. (1990). </w:t>
      </w:r>
      <w:r w:rsidRPr="008C2341">
        <w:rPr>
          <w:rFonts w:ascii="Times New Roman" w:hAnsi="Times New Roman" w:cs="Times New Roman"/>
          <w:i/>
          <w:iCs/>
          <w:noProof/>
          <w:sz w:val="24"/>
          <w:szCs w:val="24"/>
        </w:rPr>
        <w:t>A logit model of public transport route choice</w:t>
      </w:r>
      <w:r w:rsidRPr="008C2341">
        <w:rPr>
          <w:rFonts w:ascii="Times New Roman" w:hAnsi="Times New Roman" w:cs="Times New Roman"/>
          <w:noProof/>
          <w:sz w:val="24"/>
          <w:szCs w:val="24"/>
        </w:rPr>
        <w:t xml:space="preserve"> (Vol. 60).</w:t>
      </w:r>
    </w:p>
    <w:p w14:paraId="5EC22001"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Ibarra-Rojas, O. J., &amp; Rios-Solis, Y. A. (2012). Synchronization of bus timetabling. </w:t>
      </w:r>
      <w:r w:rsidRPr="008C2341">
        <w:rPr>
          <w:rFonts w:ascii="Times New Roman" w:hAnsi="Times New Roman" w:cs="Times New Roman"/>
          <w:i/>
          <w:iCs/>
          <w:noProof/>
          <w:sz w:val="24"/>
          <w:szCs w:val="24"/>
        </w:rPr>
        <w:t>Transportation Research Part B: Methodological</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46</w:t>
      </w:r>
      <w:r w:rsidRPr="008C2341">
        <w:rPr>
          <w:rFonts w:ascii="Times New Roman" w:hAnsi="Times New Roman" w:cs="Times New Roman"/>
          <w:noProof/>
          <w:sz w:val="24"/>
          <w:szCs w:val="24"/>
        </w:rPr>
        <w:t>(5), 599–614.</w:t>
      </w:r>
    </w:p>
    <w:p w14:paraId="5852A765"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8C2341">
        <w:rPr>
          <w:rFonts w:ascii="Times New Roman" w:hAnsi="Times New Roman" w:cs="Times New Roman"/>
          <w:i/>
          <w:iCs/>
          <w:noProof/>
          <w:sz w:val="24"/>
          <w:szCs w:val="24"/>
        </w:rPr>
        <w:t>Transport Reviews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29</w:t>
      </w:r>
      <w:r w:rsidRPr="008C2341">
        <w:rPr>
          <w:rFonts w:ascii="Times New Roman" w:hAnsi="Times New Roman" w:cs="Times New Roman"/>
          <w:noProof/>
          <w:sz w:val="24"/>
          <w:szCs w:val="24"/>
        </w:rPr>
        <w:t>(6), 777–800.</w:t>
      </w:r>
    </w:p>
    <w:p w14:paraId="75ECB025"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Jang, W. (2010). Travel time and transfer analysis using transit smart card data. </w:t>
      </w:r>
      <w:r w:rsidRPr="008C2341">
        <w:rPr>
          <w:rFonts w:ascii="Times New Roman" w:hAnsi="Times New Roman" w:cs="Times New Roman"/>
          <w:i/>
          <w:iCs/>
          <w:noProof/>
          <w:sz w:val="24"/>
          <w:szCs w:val="24"/>
        </w:rPr>
        <w:lastRenderedPageBreak/>
        <w:t>Transportation Research Record: Journal of the Transportation Research Board</w:t>
      </w:r>
      <w:r w:rsidRPr="008C2341">
        <w:rPr>
          <w:rFonts w:ascii="Times New Roman" w:hAnsi="Times New Roman" w:cs="Times New Roman"/>
          <w:noProof/>
          <w:sz w:val="24"/>
          <w:szCs w:val="24"/>
        </w:rPr>
        <w:t>, (2144), 142–149.</w:t>
      </w:r>
    </w:p>
    <w:p w14:paraId="142E6F35"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Knoppers, P., &amp; Muller, T. (1995). Optimized transfer opportunities in public transport. </w:t>
      </w:r>
      <w:r w:rsidRPr="008C2341">
        <w:rPr>
          <w:rFonts w:ascii="Times New Roman" w:hAnsi="Times New Roman" w:cs="Times New Roman"/>
          <w:i/>
          <w:iCs/>
          <w:noProof/>
          <w:sz w:val="24"/>
          <w:szCs w:val="24"/>
        </w:rPr>
        <w:t>Transportation Science</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29</w:t>
      </w:r>
      <w:r w:rsidRPr="008C2341">
        <w:rPr>
          <w:rFonts w:ascii="Times New Roman" w:hAnsi="Times New Roman" w:cs="Times New Roman"/>
          <w:noProof/>
          <w:sz w:val="24"/>
          <w:szCs w:val="24"/>
        </w:rPr>
        <w:t>(1), 101–105.</w:t>
      </w:r>
    </w:p>
    <w:p w14:paraId="546D1028"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8C2341">
        <w:rPr>
          <w:rFonts w:ascii="Times New Roman" w:hAnsi="Times New Roman" w:cs="Times New Roman"/>
          <w:i/>
          <w:iCs/>
          <w:noProof/>
          <w:sz w:val="24"/>
          <w:szCs w:val="24"/>
        </w:rPr>
        <w:t>Computers, Environment and Urban Systems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67</w:t>
      </w:r>
      <w:r w:rsidRPr="008C2341">
        <w:rPr>
          <w:rFonts w:ascii="Times New Roman" w:hAnsi="Times New Roman" w:cs="Times New Roman"/>
          <w:noProof/>
          <w:sz w:val="24"/>
          <w:szCs w:val="24"/>
        </w:rPr>
        <w:t>, 41–54.</w:t>
      </w:r>
    </w:p>
    <w:p w14:paraId="7711A871"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Li, J.-Q., Song, M., Li, M., &amp; Zhang, W.-B. (2009). Planning for bus rapid transit in single dedicated bus lane. </w:t>
      </w:r>
      <w:r w:rsidRPr="008C2341">
        <w:rPr>
          <w:rFonts w:ascii="Times New Roman" w:hAnsi="Times New Roman" w:cs="Times New Roman"/>
          <w:i/>
          <w:iCs/>
          <w:noProof/>
          <w:sz w:val="24"/>
          <w:szCs w:val="24"/>
        </w:rPr>
        <w:t>Transportation Research Record: Journal of the Transportation Research Board</w:t>
      </w:r>
      <w:r w:rsidRPr="008C2341">
        <w:rPr>
          <w:rFonts w:ascii="Times New Roman" w:hAnsi="Times New Roman" w:cs="Times New Roman"/>
          <w:noProof/>
          <w:sz w:val="24"/>
          <w:szCs w:val="24"/>
        </w:rPr>
        <w:t>, (2111), 76–82.</w:t>
      </w:r>
    </w:p>
    <w:p w14:paraId="7B77F60D"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Liu, R., Pendyala, R., &amp; Polzin, S. (1997). Assessment of intermodal transfer penalties using stated preference data. </w:t>
      </w:r>
      <w:r w:rsidRPr="008C2341">
        <w:rPr>
          <w:rFonts w:ascii="Times New Roman" w:hAnsi="Times New Roman" w:cs="Times New Roman"/>
          <w:i/>
          <w:iCs/>
          <w:noProof/>
          <w:sz w:val="24"/>
          <w:szCs w:val="24"/>
        </w:rPr>
        <w:t>Transportation Research Record: Journal of the Transportation Research Board</w:t>
      </w:r>
      <w:r w:rsidRPr="008C2341">
        <w:rPr>
          <w:rFonts w:ascii="Times New Roman" w:hAnsi="Times New Roman" w:cs="Times New Roman"/>
          <w:noProof/>
          <w:sz w:val="24"/>
          <w:szCs w:val="24"/>
        </w:rPr>
        <w:t>, (1607), 74–80.</w:t>
      </w:r>
    </w:p>
    <w:p w14:paraId="44274C6E"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8C2341">
        <w:rPr>
          <w:rFonts w:ascii="Times New Roman" w:hAnsi="Times New Roman" w:cs="Times New Roman"/>
          <w:i/>
          <w:iCs/>
          <w:noProof/>
          <w:sz w:val="24"/>
          <w:szCs w:val="24"/>
        </w:rPr>
        <w:t>Transportation Research Record: Journal of the Transportation Research Board</w:t>
      </w:r>
      <w:r w:rsidRPr="008C2341">
        <w:rPr>
          <w:rFonts w:ascii="Times New Roman" w:hAnsi="Times New Roman" w:cs="Times New Roman"/>
          <w:noProof/>
          <w:sz w:val="24"/>
          <w:szCs w:val="24"/>
        </w:rPr>
        <w:t>, (2533), 78–90.</w:t>
      </w:r>
    </w:p>
    <w:p w14:paraId="32ABED9B"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Miller, H. J., &amp; Goodchild, M. F. (2015). Data-driven geography. </w:t>
      </w:r>
      <w:r w:rsidRPr="008C2341">
        <w:rPr>
          <w:rFonts w:ascii="Times New Roman" w:hAnsi="Times New Roman" w:cs="Times New Roman"/>
          <w:i/>
          <w:iCs/>
          <w:noProof/>
          <w:sz w:val="24"/>
          <w:szCs w:val="24"/>
        </w:rPr>
        <w:t>GeoJournal</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80</w:t>
      </w:r>
      <w:r w:rsidRPr="008C2341">
        <w:rPr>
          <w:rFonts w:ascii="Times New Roman" w:hAnsi="Times New Roman" w:cs="Times New Roman"/>
          <w:noProof/>
          <w:sz w:val="24"/>
          <w:szCs w:val="24"/>
        </w:rPr>
        <w:t>(4), 449–461.</w:t>
      </w:r>
    </w:p>
    <w:p w14:paraId="08C71E64"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Nesheli, M. M., &amp; Ceder, A. A. (2014). Optimal combinations of selected tactics for public-transport transfer synchronization. </w:t>
      </w:r>
      <w:r w:rsidRPr="008C2341">
        <w:rPr>
          <w:rFonts w:ascii="Times New Roman" w:hAnsi="Times New Roman" w:cs="Times New Roman"/>
          <w:i/>
          <w:iCs/>
          <w:noProof/>
          <w:sz w:val="24"/>
          <w:szCs w:val="24"/>
        </w:rPr>
        <w:t>Transportation Research Part C: Emerging Technologies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48</w:t>
      </w:r>
      <w:r w:rsidRPr="008C2341">
        <w:rPr>
          <w:rFonts w:ascii="Times New Roman" w:hAnsi="Times New Roman" w:cs="Times New Roman"/>
          <w:noProof/>
          <w:sz w:val="24"/>
          <w:szCs w:val="24"/>
        </w:rPr>
        <w:t>, 491–504.</w:t>
      </w:r>
    </w:p>
    <w:p w14:paraId="59E595F4"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Nesheli, M. M., &amp; Ceder, A. A. (2015). Improved reliability of public transportation using real-time transfer synchronization. </w:t>
      </w:r>
      <w:r w:rsidRPr="008C2341">
        <w:rPr>
          <w:rFonts w:ascii="Times New Roman" w:hAnsi="Times New Roman" w:cs="Times New Roman"/>
          <w:i/>
          <w:iCs/>
          <w:noProof/>
          <w:sz w:val="24"/>
          <w:szCs w:val="24"/>
        </w:rPr>
        <w:t>Transportation Research Part C: Emerging Technologies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60</w:t>
      </w:r>
      <w:r w:rsidRPr="008C2341">
        <w:rPr>
          <w:rFonts w:ascii="Times New Roman" w:hAnsi="Times New Roman" w:cs="Times New Roman"/>
          <w:noProof/>
          <w:sz w:val="24"/>
          <w:szCs w:val="24"/>
        </w:rPr>
        <w:t>, 525–539.</w:t>
      </w:r>
    </w:p>
    <w:p w14:paraId="57B6913F"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Nesheli, M. M., Ceder, A. A., &amp; Liu, T. (2015). A robust, tactic-based, real-time framework for public-transport transfer synchronization. </w:t>
      </w:r>
      <w:r w:rsidRPr="008C2341">
        <w:rPr>
          <w:rFonts w:ascii="Times New Roman" w:hAnsi="Times New Roman" w:cs="Times New Roman"/>
          <w:i/>
          <w:iCs/>
          <w:noProof/>
          <w:sz w:val="24"/>
          <w:szCs w:val="24"/>
        </w:rPr>
        <w:t>Transportation Research Procedia</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9</w:t>
      </w:r>
      <w:r w:rsidRPr="008C2341">
        <w:rPr>
          <w:rFonts w:ascii="Times New Roman" w:hAnsi="Times New Roman" w:cs="Times New Roman"/>
          <w:noProof/>
          <w:sz w:val="24"/>
          <w:szCs w:val="24"/>
        </w:rPr>
        <w:t>, 246–268.</w:t>
      </w:r>
    </w:p>
    <w:p w14:paraId="11EF1567"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sidRPr="008C2341">
        <w:rPr>
          <w:rFonts w:ascii="Times New Roman" w:hAnsi="Times New Roman" w:cs="Times New Roman"/>
          <w:i/>
          <w:iCs/>
          <w:noProof/>
          <w:sz w:val="24"/>
          <w:szCs w:val="24"/>
        </w:rPr>
        <w:t>IEEE Transactions on Intelligent Transportation Systems</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17</w:t>
      </w:r>
      <w:r w:rsidRPr="008C2341">
        <w:rPr>
          <w:rFonts w:ascii="Times New Roman" w:hAnsi="Times New Roman" w:cs="Times New Roman"/>
          <w:noProof/>
          <w:sz w:val="24"/>
          <w:szCs w:val="24"/>
        </w:rPr>
        <w:t>(11), 3220–3229.</w:t>
      </w:r>
    </w:p>
    <w:p w14:paraId="1C14B908"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Nesheli, M. M., Cedera, A. A., &amp; Hassold, S. (2014). </w:t>
      </w:r>
      <w:r w:rsidRPr="008C2341">
        <w:rPr>
          <w:rFonts w:ascii="Times New Roman" w:hAnsi="Times New Roman" w:cs="Times New Roman"/>
          <w:i/>
          <w:iCs/>
          <w:noProof/>
          <w:sz w:val="24"/>
          <w:szCs w:val="24"/>
        </w:rPr>
        <w:t>Optimal holding and skip-stop/segment tactics for public-transport transfer synchronization</w:t>
      </w:r>
      <w:r w:rsidRPr="008C2341">
        <w:rPr>
          <w:rFonts w:ascii="Times New Roman" w:hAnsi="Times New Roman" w:cs="Times New Roman"/>
          <w:noProof/>
          <w:sz w:val="24"/>
          <w:szCs w:val="24"/>
        </w:rPr>
        <w:t>.</w:t>
      </w:r>
    </w:p>
    <w:p w14:paraId="620B2C9D"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8C2341">
        <w:rPr>
          <w:rFonts w:ascii="Times New Roman" w:hAnsi="Times New Roman" w:cs="Times New Roman"/>
          <w:i/>
          <w:iCs/>
          <w:noProof/>
          <w:sz w:val="24"/>
          <w:szCs w:val="24"/>
        </w:rPr>
        <w:t>Transportation Research Procedia</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6</w:t>
      </w:r>
      <w:r w:rsidRPr="008C2341">
        <w:rPr>
          <w:rFonts w:ascii="Times New Roman" w:hAnsi="Times New Roman" w:cs="Times New Roman"/>
          <w:noProof/>
          <w:sz w:val="24"/>
          <w:szCs w:val="24"/>
        </w:rPr>
        <w:t>, 391–401.</w:t>
      </w:r>
    </w:p>
    <w:p w14:paraId="61BB7287"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Planning, C. T., &amp; Transportation, U. S. D. of. (1997). </w:t>
      </w:r>
      <w:r w:rsidRPr="008C2341">
        <w:rPr>
          <w:rFonts w:ascii="Times New Roman" w:hAnsi="Times New Roman" w:cs="Times New Roman"/>
          <w:i/>
          <w:iCs/>
          <w:noProof/>
          <w:sz w:val="24"/>
          <w:szCs w:val="24"/>
        </w:rPr>
        <w:t>Transfer penalties in urban mode choice modeling</w:t>
      </w:r>
      <w:r w:rsidRPr="008C2341">
        <w:rPr>
          <w:rFonts w:ascii="Times New Roman" w:hAnsi="Times New Roman" w:cs="Times New Roman"/>
          <w:noProof/>
          <w:sz w:val="24"/>
          <w:szCs w:val="24"/>
        </w:rPr>
        <w:t>. US Dept. of Transportation.</w:t>
      </w:r>
    </w:p>
    <w:p w14:paraId="6F2589AB"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lastRenderedPageBreak/>
        <w:t xml:space="preserve">Sun, L., Rong, J., Ren, F., &amp; Yao, L. (2007). Evaluation of passenger transfer efficiency of an urban public transportation terminal. In </w:t>
      </w:r>
      <w:r w:rsidRPr="008C2341">
        <w:rPr>
          <w:rFonts w:ascii="Times New Roman" w:hAnsi="Times New Roman" w:cs="Times New Roman"/>
          <w:i/>
          <w:iCs/>
          <w:noProof/>
          <w:sz w:val="24"/>
          <w:szCs w:val="24"/>
        </w:rPr>
        <w:t>IEEE Conference on Intelligent Transportation Systems, Proceedings, ITSC</w:t>
      </w:r>
      <w:r w:rsidRPr="008C2341">
        <w:rPr>
          <w:rFonts w:ascii="Times New Roman" w:hAnsi="Times New Roman" w:cs="Times New Roman"/>
          <w:noProof/>
          <w:sz w:val="24"/>
          <w:szCs w:val="24"/>
        </w:rPr>
        <w:t xml:space="preserve"> (pp. 436–441). IEEE. https://doi.org/10.1109/ITSC.2007.4357762</w:t>
      </w:r>
    </w:p>
    <w:p w14:paraId="0E1F6327"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8C2341">
        <w:rPr>
          <w:rFonts w:ascii="Times New Roman" w:hAnsi="Times New Roman" w:cs="Times New Roman"/>
          <w:i/>
          <w:iCs/>
          <w:noProof/>
          <w:sz w:val="24"/>
          <w:szCs w:val="24"/>
        </w:rPr>
        <w:t>Journal of Urban Planning and Development</w:t>
      </w:r>
      <w:r w:rsidRPr="008C2341">
        <w:rPr>
          <w:rFonts w:ascii="Times New Roman" w:hAnsi="Times New Roman" w:cs="Times New Roman"/>
          <w:noProof/>
          <w:sz w:val="24"/>
          <w:szCs w:val="24"/>
        </w:rPr>
        <w:t xml:space="preserve">, </w:t>
      </w:r>
      <w:r w:rsidRPr="008C2341">
        <w:rPr>
          <w:rFonts w:ascii="Times New Roman" w:hAnsi="Times New Roman" w:cs="Times New Roman"/>
          <w:i/>
          <w:iCs/>
          <w:noProof/>
          <w:sz w:val="24"/>
          <w:szCs w:val="24"/>
        </w:rPr>
        <w:t>136</w:t>
      </w:r>
      <w:r w:rsidRPr="008C2341">
        <w:rPr>
          <w:rFonts w:ascii="Times New Roman" w:hAnsi="Times New Roman" w:cs="Times New Roman"/>
          <w:noProof/>
          <w:sz w:val="24"/>
          <w:szCs w:val="24"/>
        </w:rPr>
        <w:t>(4), 314–319. https://doi.org/10.1061/(ASCE)UP.1943-5444.0000028</w:t>
      </w:r>
    </w:p>
    <w:p w14:paraId="652B96B9"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 xml:space="preserve">Walker, J. (2012). </w:t>
      </w:r>
      <w:r w:rsidRPr="008C2341">
        <w:rPr>
          <w:rFonts w:ascii="Times New Roman" w:hAnsi="Times New Roman" w:cs="Times New Roman"/>
          <w:i/>
          <w:iCs/>
          <w:noProof/>
          <w:sz w:val="24"/>
          <w:szCs w:val="24"/>
        </w:rPr>
        <w:t>Human transit: How clearer thinking about public transit can enrich our communities and our lives</w:t>
      </w:r>
      <w:r w:rsidRPr="008C2341">
        <w:rPr>
          <w:rFonts w:ascii="Times New Roman" w:hAnsi="Times New Roman" w:cs="Times New Roman"/>
          <w:noProof/>
          <w:sz w:val="24"/>
          <w:szCs w:val="24"/>
        </w:rPr>
        <w:t>. Island Press.</w:t>
      </w:r>
    </w:p>
    <w:p w14:paraId="544222F4"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szCs w:val="24"/>
        </w:rPr>
      </w:pPr>
      <w:r w:rsidRPr="008C2341">
        <w:rPr>
          <w:rFonts w:ascii="Times New Roman" w:hAnsi="Times New Roman" w:cs="Times New Roman"/>
          <w:noProof/>
          <w:sz w:val="24"/>
          <w:szCs w:val="24"/>
        </w:rPr>
        <w:t>Wardman, M. (1998). A review of British evidence on the valuations of time and service quality.</w:t>
      </w:r>
    </w:p>
    <w:p w14:paraId="0843CC20" w14:textId="77777777" w:rsidR="008C2341" w:rsidRPr="008C2341" w:rsidRDefault="008C2341" w:rsidP="008C2341">
      <w:pPr>
        <w:widowControl w:val="0"/>
        <w:autoSpaceDE w:val="0"/>
        <w:autoSpaceDN w:val="0"/>
        <w:adjustRightInd w:val="0"/>
        <w:spacing w:line="240" w:lineRule="auto"/>
        <w:ind w:left="480" w:hanging="480"/>
        <w:rPr>
          <w:rFonts w:ascii="Times New Roman" w:hAnsi="Times New Roman" w:cs="Times New Roman"/>
          <w:noProof/>
          <w:sz w:val="24"/>
        </w:rPr>
      </w:pPr>
      <w:r w:rsidRPr="008C2341">
        <w:rPr>
          <w:rFonts w:ascii="Times New Roman" w:hAnsi="Times New Roman" w:cs="Times New Roman"/>
          <w:noProof/>
          <w:sz w:val="24"/>
          <w:szCs w:val="24"/>
        </w:rPr>
        <w:t xml:space="preserve">Wardman, M., Hine, J., &amp; Stradling, S. (2001). Interchange and Travel Choice Volume 2. </w:t>
      </w:r>
      <w:r w:rsidRPr="008C2341">
        <w:rPr>
          <w:rFonts w:ascii="Times New Roman" w:hAnsi="Times New Roman" w:cs="Times New Roman"/>
          <w:i/>
          <w:iCs/>
          <w:noProof/>
          <w:sz w:val="24"/>
          <w:szCs w:val="24"/>
        </w:rPr>
        <w:t>Scottish Executive Central Research Unit</w:t>
      </w:r>
      <w:r w:rsidRPr="008C2341">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Luyu Liu" w:date="2019-09-14T15:13:00Z" w:initials="LL">
    <w:p w14:paraId="38D43401" w14:textId="0FD9D31A" w:rsidR="00695342" w:rsidRDefault="00695342">
      <w:pPr>
        <w:pStyle w:val="CommentText"/>
      </w:pPr>
      <w:r>
        <w:rPr>
          <w:rStyle w:val="CommentReference"/>
        </w:rPr>
        <w:annotationRef/>
      </w:r>
      <w:r>
        <w:t>This one is extra good. I think I will keep it.</w:t>
      </w:r>
    </w:p>
  </w:comment>
  <w:comment w:id="6" w:author="Luyu Liu" w:date="2019-09-14T15:17:00Z" w:initials="LL">
    <w:p w14:paraId="7A2479EF" w14:textId="32845427" w:rsidR="00695342" w:rsidRDefault="00695342">
      <w:pPr>
        <w:pStyle w:val="CommentText"/>
      </w:pPr>
      <w:r>
        <w:rPr>
          <w:rStyle w:val="CommentReference"/>
        </w:rPr>
        <w:annotationRef/>
      </w:r>
      <w:r>
        <w:t>Although kind of cliché. So many people abused it since 1966. Try search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77403" w14:textId="77777777" w:rsidR="006F4087" w:rsidRDefault="006F4087" w:rsidP="00491109">
      <w:pPr>
        <w:spacing w:after="0" w:line="240" w:lineRule="auto"/>
      </w:pPr>
      <w:r>
        <w:separator/>
      </w:r>
    </w:p>
  </w:endnote>
  <w:endnote w:type="continuationSeparator" w:id="0">
    <w:p w14:paraId="0F852C14" w14:textId="77777777" w:rsidR="006F4087" w:rsidRDefault="006F4087"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Yu Gothic UI"/>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90D7B" w14:textId="77777777" w:rsidR="006F4087" w:rsidRDefault="006F4087" w:rsidP="00491109">
      <w:pPr>
        <w:spacing w:after="0" w:line="240" w:lineRule="auto"/>
      </w:pPr>
      <w:r>
        <w:separator/>
      </w:r>
    </w:p>
  </w:footnote>
  <w:footnote w:type="continuationSeparator" w:id="0">
    <w:p w14:paraId="496AAD0D" w14:textId="77777777" w:rsidR="006F4087" w:rsidRDefault="006F4087" w:rsidP="00491109">
      <w:pPr>
        <w:spacing w:after="0" w:line="240" w:lineRule="auto"/>
      </w:pPr>
      <w:r>
        <w:continuationSeparator/>
      </w:r>
    </w:p>
  </w:footnote>
  <w:footnote w:id="1">
    <w:p w14:paraId="221015B9" w14:textId="77777777" w:rsidR="00695342" w:rsidRDefault="00695342"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695342" w:rsidRDefault="00695342"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4"/>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B7"/>
    <w:rsid w:val="0001285C"/>
    <w:rsid w:val="000160C9"/>
    <w:rsid w:val="00020EE8"/>
    <w:rsid w:val="00025604"/>
    <w:rsid w:val="00027383"/>
    <w:rsid w:val="000314CB"/>
    <w:rsid w:val="00044528"/>
    <w:rsid w:val="00054CF9"/>
    <w:rsid w:val="0005679C"/>
    <w:rsid w:val="00060006"/>
    <w:rsid w:val="00083253"/>
    <w:rsid w:val="00090499"/>
    <w:rsid w:val="000B5297"/>
    <w:rsid w:val="000F2F58"/>
    <w:rsid w:val="00110835"/>
    <w:rsid w:val="0014344D"/>
    <w:rsid w:val="001460DE"/>
    <w:rsid w:val="00171F17"/>
    <w:rsid w:val="00177107"/>
    <w:rsid w:val="0019318E"/>
    <w:rsid w:val="001B7FD9"/>
    <w:rsid w:val="001C3C4B"/>
    <w:rsid w:val="001C5D7C"/>
    <w:rsid w:val="001F369C"/>
    <w:rsid w:val="00201149"/>
    <w:rsid w:val="00213852"/>
    <w:rsid w:val="00226FEF"/>
    <w:rsid w:val="00227FAE"/>
    <w:rsid w:val="00231898"/>
    <w:rsid w:val="00244F2B"/>
    <w:rsid w:val="00255D0B"/>
    <w:rsid w:val="002637A9"/>
    <w:rsid w:val="00285491"/>
    <w:rsid w:val="002A2652"/>
    <w:rsid w:val="002A288D"/>
    <w:rsid w:val="002A437F"/>
    <w:rsid w:val="002B2F62"/>
    <w:rsid w:val="002D0271"/>
    <w:rsid w:val="002F2237"/>
    <w:rsid w:val="002F7194"/>
    <w:rsid w:val="00306A7A"/>
    <w:rsid w:val="00320E90"/>
    <w:rsid w:val="00326289"/>
    <w:rsid w:val="00352D33"/>
    <w:rsid w:val="0036174A"/>
    <w:rsid w:val="00361813"/>
    <w:rsid w:val="0037699F"/>
    <w:rsid w:val="003816A2"/>
    <w:rsid w:val="00382312"/>
    <w:rsid w:val="00391233"/>
    <w:rsid w:val="003A25E3"/>
    <w:rsid w:val="003A33CD"/>
    <w:rsid w:val="003A4266"/>
    <w:rsid w:val="003C700A"/>
    <w:rsid w:val="003D2880"/>
    <w:rsid w:val="003D536A"/>
    <w:rsid w:val="003E4675"/>
    <w:rsid w:val="003F507F"/>
    <w:rsid w:val="003F5491"/>
    <w:rsid w:val="003F636D"/>
    <w:rsid w:val="00430E2C"/>
    <w:rsid w:val="004521CF"/>
    <w:rsid w:val="0045276C"/>
    <w:rsid w:val="004652DA"/>
    <w:rsid w:val="00473EB9"/>
    <w:rsid w:val="00480DB5"/>
    <w:rsid w:val="00491109"/>
    <w:rsid w:val="004B128D"/>
    <w:rsid w:val="004C5541"/>
    <w:rsid w:val="004C6E4E"/>
    <w:rsid w:val="004C7134"/>
    <w:rsid w:val="004E216B"/>
    <w:rsid w:val="004E29CA"/>
    <w:rsid w:val="004E5439"/>
    <w:rsid w:val="004F7277"/>
    <w:rsid w:val="005001C6"/>
    <w:rsid w:val="005065B2"/>
    <w:rsid w:val="00542F21"/>
    <w:rsid w:val="00551745"/>
    <w:rsid w:val="005612B6"/>
    <w:rsid w:val="00573633"/>
    <w:rsid w:val="00591EC6"/>
    <w:rsid w:val="00596D0C"/>
    <w:rsid w:val="005A008E"/>
    <w:rsid w:val="005A3D83"/>
    <w:rsid w:val="005B5EC7"/>
    <w:rsid w:val="005C247B"/>
    <w:rsid w:val="005D716C"/>
    <w:rsid w:val="006029F5"/>
    <w:rsid w:val="00611554"/>
    <w:rsid w:val="00612C75"/>
    <w:rsid w:val="0062737A"/>
    <w:rsid w:val="00633C3B"/>
    <w:rsid w:val="00636DD3"/>
    <w:rsid w:val="00637433"/>
    <w:rsid w:val="006470DC"/>
    <w:rsid w:val="006557CF"/>
    <w:rsid w:val="00664047"/>
    <w:rsid w:val="00672AAC"/>
    <w:rsid w:val="00695342"/>
    <w:rsid w:val="006B6338"/>
    <w:rsid w:val="006B7A0F"/>
    <w:rsid w:val="006F4087"/>
    <w:rsid w:val="007009F8"/>
    <w:rsid w:val="0070254D"/>
    <w:rsid w:val="00713465"/>
    <w:rsid w:val="00722546"/>
    <w:rsid w:val="00725C1C"/>
    <w:rsid w:val="007418B7"/>
    <w:rsid w:val="007712B2"/>
    <w:rsid w:val="007847AC"/>
    <w:rsid w:val="00785A85"/>
    <w:rsid w:val="00792827"/>
    <w:rsid w:val="007929D8"/>
    <w:rsid w:val="007A17F0"/>
    <w:rsid w:val="007A5860"/>
    <w:rsid w:val="007B10B4"/>
    <w:rsid w:val="007C5F03"/>
    <w:rsid w:val="007F3CD5"/>
    <w:rsid w:val="007F5341"/>
    <w:rsid w:val="007F7D33"/>
    <w:rsid w:val="008144BF"/>
    <w:rsid w:val="00825B5C"/>
    <w:rsid w:val="00844950"/>
    <w:rsid w:val="008570B5"/>
    <w:rsid w:val="00866338"/>
    <w:rsid w:val="008A16AD"/>
    <w:rsid w:val="008A2D27"/>
    <w:rsid w:val="008A2E78"/>
    <w:rsid w:val="008A59A6"/>
    <w:rsid w:val="008B1438"/>
    <w:rsid w:val="008B22CD"/>
    <w:rsid w:val="008B30F1"/>
    <w:rsid w:val="008C2341"/>
    <w:rsid w:val="008D27A4"/>
    <w:rsid w:val="008F796D"/>
    <w:rsid w:val="009316ED"/>
    <w:rsid w:val="0094217E"/>
    <w:rsid w:val="00955A21"/>
    <w:rsid w:val="009568F2"/>
    <w:rsid w:val="009703A5"/>
    <w:rsid w:val="009A4F28"/>
    <w:rsid w:val="009C05A6"/>
    <w:rsid w:val="009C26A6"/>
    <w:rsid w:val="009D6E9B"/>
    <w:rsid w:val="009E0D57"/>
    <w:rsid w:val="009E1647"/>
    <w:rsid w:val="009E2D3B"/>
    <w:rsid w:val="00A07C9B"/>
    <w:rsid w:val="00A1480C"/>
    <w:rsid w:val="00A15661"/>
    <w:rsid w:val="00A250CA"/>
    <w:rsid w:val="00A44DB0"/>
    <w:rsid w:val="00A45F7A"/>
    <w:rsid w:val="00A52740"/>
    <w:rsid w:val="00A563CC"/>
    <w:rsid w:val="00A84EB0"/>
    <w:rsid w:val="00A856E7"/>
    <w:rsid w:val="00A87E72"/>
    <w:rsid w:val="00AA1116"/>
    <w:rsid w:val="00AA2B22"/>
    <w:rsid w:val="00AA6E76"/>
    <w:rsid w:val="00AB06B7"/>
    <w:rsid w:val="00AC1265"/>
    <w:rsid w:val="00AC5CC1"/>
    <w:rsid w:val="00AD59F3"/>
    <w:rsid w:val="00AD66C6"/>
    <w:rsid w:val="00B05DA5"/>
    <w:rsid w:val="00B132C5"/>
    <w:rsid w:val="00B257BE"/>
    <w:rsid w:val="00B427F1"/>
    <w:rsid w:val="00B53162"/>
    <w:rsid w:val="00B66BD0"/>
    <w:rsid w:val="00B86D99"/>
    <w:rsid w:val="00BA1744"/>
    <w:rsid w:val="00BB19B6"/>
    <w:rsid w:val="00BB22E1"/>
    <w:rsid w:val="00BB32B0"/>
    <w:rsid w:val="00BC07B9"/>
    <w:rsid w:val="00BD79A8"/>
    <w:rsid w:val="00BE0CF2"/>
    <w:rsid w:val="00BE2D3F"/>
    <w:rsid w:val="00BE48BA"/>
    <w:rsid w:val="00BE708E"/>
    <w:rsid w:val="00C130B1"/>
    <w:rsid w:val="00C13946"/>
    <w:rsid w:val="00C17E21"/>
    <w:rsid w:val="00C34D92"/>
    <w:rsid w:val="00C43F58"/>
    <w:rsid w:val="00C442D5"/>
    <w:rsid w:val="00C44A32"/>
    <w:rsid w:val="00C45CD0"/>
    <w:rsid w:val="00C8090A"/>
    <w:rsid w:val="00C96D68"/>
    <w:rsid w:val="00CB0BBA"/>
    <w:rsid w:val="00CB5BB1"/>
    <w:rsid w:val="00CC6315"/>
    <w:rsid w:val="00CC63AF"/>
    <w:rsid w:val="00CC63C1"/>
    <w:rsid w:val="00CD172D"/>
    <w:rsid w:val="00CF0043"/>
    <w:rsid w:val="00CF2F0F"/>
    <w:rsid w:val="00D0135A"/>
    <w:rsid w:val="00D13DF5"/>
    <w:rsid w:val="00D44295"/>
    <w:rsid w:val="00D46DC2"/>
    <w:rsid w:val="00D5271F"/>
    <w:rsid w:val="00D53349"/>
    <w:rsid w:val="00D645BB"/>
    <w:rsid w:val="00D84C7E"/>
    <w:rsid w:val="00D865EB"/>
    <w:rsid w:val="00DA3081"/>
    <w:rsid w:val="00DB162D"/>
    <w:rsid w:val="00DB56FB"/>
    <w:rsid w:val="00DC7754"/>
    <w:rsid w:val="00DF5E3D"/>
    <w:rsid w:val="00E02949"/>
    <w:rsid w:val="00E22DA2"/>
    <w:rsid w:val="00E23B3D"/>
    <w:rsid w:val="00E419B3"/>
    <w:rsid w:val="00E73B7E"/>
    <w:rsid w:val="00E73CE1"/>
    <w:rsid w:val="00EB3462"/>
    <w:rsid w:val="00EB36E9"/>
    <w:rsid w:val="00EC1384"/>
    <w:rsid w:val="00EE312A"/>
    <w:rsid w:val="00EE48E5"/>
    <w:rsid w:val="00F00249"/>
    <w:rsid w:val="00F145D6"/>
    <w:rsid w:val="00F17C4A"/>
    <w:rsid w:val="00F2122B"/>
    <w:rsid w:val="00F24C26"/>
    <w:rsid w:val="00F32C97"/>
    <w:rsid w:val="00F46FDC"/>
    <w:rsid w:val="00F5671C"/>
    <w:rsid w:val="00F63977"/>
    <w:rsid w:val="00F657CD"/>
    <w:rsid w:val="00F7253F"/>
    <w:rsid w:val="00F76B38"/>
    <w:rsid w:val="00F851B8"/>
    <w:rsid w:val="00FD368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semiHidden/>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semiHidden/>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C418-84D3-40F2-BFCD-5A47A6B7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24</Pages>
  <Words>16633</Words>
  <Characters>94813</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144</cp:revision>
  <cp:lastPrinted>2019-03-29T20:31:00Z</cp:lastPrinted>
  <dcterms:created xsi:type="dcterms:W3CDTF">2019-09-12T21:31:00Z</dcterms:created>
  <dcterms:modified xsi:type="dcterms:W3CDTF">2019-09-15T21:09:00Z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