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05F71562"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system on-time performance and delays</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transit real-time</w:t>
      </w:r>
      <w:r w:rsidR="00A87E72">
        <w:rPr>
          <w:rFonts w:ascii="Times New Roman" w:eastAsia="Yu Mincho" w:hAnsi="Times New Roman" w:cs="Times New Roman"/>
          <w:sz w:val="24"/>
          <w:szCs w:val="24"/>
          <w:lang w:eastAsia="ja-JP"/>
        </w:rPr>
        <w:t xml:space="preserve"> 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 and analyze each index under different spatial and temporal resolutions. We also simulate the impacts of dedicated bus lanes (DBLs) on the overall transfer performance and different types of transfers. 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hint="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w:t>
      </w:r>
      <w:r>
        <w:rPr>
          <w:rFonts w:ascii="Times New Roman" w:eastAsia="Yu Mincho" w:hAnsi="Times New Roman" w:cs="Times New Roman"/>
          <w:sz w:val="24"/>
          <w:szCs w:val="24"/>
          <w:lang w:eastAsia="ja-JP"/>
        </w:rPr>
        <w:lastRenderedPageBreak/>
        <w:t xml:space="preserve">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51025EC0"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In this paper, we develop an analytical system for the evaluation of the transfer performance in an existing PT system. </w:t>
      </w:r>
      <w:r w:rsidR="002637A9">
        <w:rPr>
          <w:rFonts w:ascii="Times New Roman" w:eastAsia="Yu Mincho" w:hAnsi="Times New Roman" w:cs="Times New Roman"/>
          <w:sz w:val="24"/>
          <w:szCs w:val="24"/>
          <w:lang w:eastAsia="ja-JP"/>
        </w:rPr>
        <w:t>In the context of real-time data and methodology, w</w:t>
      </w:r>
      <w:r>
        <w:rPr>
          <w:rFonts w:ascii="Times New Roman" w:eastAsia="Yu Mincho" w:hAnsi="Times New Roman" w:cs="Times New Roman"/>
          <w:sz w:val="24"/>
          <w:szCs w:val="24"/>
          <w:lang w:eastAsia="ja-JP"/>
        </w:rPr>
        <w:t xml:space="preserve">e develop two measures: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Literature review</w:t>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Pr>
          <w:rFonts w:asciiTheme="minorEastAsia" w:hAnsiTheme="minorEastAsia" w:cs="Times New Roman" w:hint="eastAsia"/>
          <w:sz w:val="24"/>
          <w:szCs w:val="24"/>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hint="eastAsia"/>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have heterogeneous, study-specific data sources that may be difficult to reproduce in other settings.  </w:t>
      </w:r>
    </w:p>
    <w:p w14:paraId="25138C45" w14:textId="356B5F59"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Another issue is that most traditional data are expensive and time-consuming to collect. For example, Guo and Wilson (2011) create and maintain 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bookmarkStart w:id="0" w:name="_GoBack"/>
      <w:bookmarkEnd w:id="0"/>
      <w:r w:rsidR="00EE312A">
        <w:rPr>
          <w:rFonts w:ascii="Times New Roman" w:eastAsia="Yu Mincho" w:hAnsi="Times New Roman" w:cs="Times New Roman"/>
          <w:sz w:val="24"/>
          <w:szCs w:val="24"/>
          <w:lang w:eastAsia="ja-JP"/>
        </w:rPr>
        <w:t xml:space="preserve">(Miller </w:t>
      </w:r>
      <w:r w:rsidR="00DC7754">
        <w:rPr>
          <w:rFonts w:ascii="Times New Roman" w:eastAsia="Yu Mincho" w:hAnsi="Times New Roman" w:cs="Times New Roman"/>
          <w:sz w:val="24"/>
          <w:szCs w:val="24"/>
          <w:lang w:eastAsia="ja-JP"/>
        </w:rPr>
        <w:t>G</w:t>
      </w:r>
      <w:r w:rsidR="00EE312A">
        <w:rPr>
          <w:rFonts w:ascii="Times New Roman" w:eastAsia="Yu Mincho" w:hAnsi="Times New Roman" w:cs="Times New Roman"/>
          <w:sz w:val="24"/>
          <w:szCs w:val="24"/>
          <w:lang w:eastAsia="ja-JP"/>
        </w:rPr>
        <w:t>oodchild)</w:t>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5EF1DACF"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However, this has changed due to the development of transportation data collection and sharing technologies.</w:t>
      </w:r>
      <w:r w:rsidR="00F851B8">
        <w:rPr>
          <w:rFonts w:ascii="Times New Roman" w:eastAsia="Yu Mincho" w:hAnsi="Times New Roman" w:cs="Times New Roman"/>
          <w:sz w:val="24"/>
          <w:szCs w:val="24"/>
          <w:lang w:eastAsia="ja-JP"/>
        </w:rPr>
        <w:t xml:space="preserve"> The emergence of Big Data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C11D8">
        <w:rPr>
          <w:rFonts w:ascii="Times New Roman" w:hAnsi="Times New Roman" w:cs="Times New Roman"/>
          <w:i/>
          <w:iCs/>
          <w:sz w:val="24"/>
          <w:szCs w:val="24"/>
        </w:rPr>
        <w:t>Big Data</w:t>
      </w:r>
      <w:r w:rsidR="009E2D3B">
        <w:rPr>
          <w:rFonts w:ascii="Times New Roman" w:hAnsi="Times New Roman" w:cs="Times New Roman"/>
          <w:sz w:val="24"/>
          <w:szCs w:val="24"/>
        </w:rPr>
        <w:t xml:space="preserve"> is diverse under different circumstances and for different areas.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r w:rsidR="00391233">
        <w:rPr>
          <w:rFonts w:ascii="Times New Roman" w:hAnsi="Times New Roman" w:cs="Times New Roman"/>
          <w:sz w:val="24"/>
          <w:szCs w:val="24"/>
        </w:rPr>
        <w:t xml:space="preserve">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 xml:space="preserve">combined with data </w:t>
      </w:r>
      <w:r w:rsidR="006B6338">
        <w:rPr>
          <w:rFonts w:ascii="Times New Roman" w:eastAsia="Yu Mincho" w:hAnsi="Times New Roman" w:cs="Times New Roman"/>
          <w:sz w:val="24"/>
          <w:szCs w:val="24"/>
          <w:lang w:eastAsia="ja-JP"/>
        </w:rPr>
        <w:t>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477B2591"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automated big data hard to work with (Miller Goodchild). 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307BC30B"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General Transit Feed Specification (GTFS)</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agencies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7777777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data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2A1A8FA1"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491109" w:rsidRPr="00DB162D">
        <w:rPr>
          <w:rFonts w:ascii="Times New Roman" w:eastAsia="Yu Mincho" w:hAnsi="Times New Roman" w:cs="Times New Roman"/>
          <w:sz w:val="24"/>
          <w:szCs w:val="24"/>
          <w:highlight w:val="yellow"/>
          <w:lang w:eastAsia="ja-JP"/>
        </w:rPr>
        <w:t>Jang (2010)</w:t>
      </w:r>
      <w:r w:rsidR="00491109">
        <w:rPr>
          <w:rFonts w:ascii="Times New Roman" w:eastAsia="Yu Mincho" w:hAnsi="Times New Roman" w:cs="Times New Roman"/>
          <w:sz w:val="24"/>
          <w:szCs w:val="24"/>
          <w:lang w:eastAsia="ja-JP"/>
        </w:rPr>
        <w:t xml:space="preserve"> attempted to examine the smart card data potential for transportation planning, especially travel and transfer analysis. </w:t>
      </w:r>
      <w:proofErr w:type="spellStart"/>
      <w:r w:rsidR="00491109" w:rsidRPr="00DB162D">
        <w:rPr>
          <w:rFonts w:ascii="Times New Roman" w:eastAsia="Yu Mincho" w:hAnsi="Times New Roman" w:cs="Times New Roman"/>
          <w:sz w:val="24"/>
          <w:szCs w:val="24"/>
          <w:highlight w:val="yellow"/>
          <w:lang w:eastAsia="ja-JP"/>
        </w:rPr>
        <w:t>Nishiuchi</w:t>
      </w:r>
      <w:proofErr w:type="spellEnd"/>
      <w:r w:rsidR="00491109" w:rsidRPr="00DB162D">
        <w:rPr>
          <w:rFonts w:ascii="Times New Roman" w:eastAsia="Yu Mincho" w:hAnsi="Times New Roman" w:cs="Times New Roman"/>
          <w:sz w:val="24"/>
          <w:szCs w:val="24"/>
          <w:highlight w:val="yellow"/>
          <w:lang w:eastAsia="ja-JP"/>
        </w:rPr>
        <w:t xml:space="preserve"> et al.</w:t>
      </w:r>
      <w:r w:rsidR="00491109">
        <w:rPr>
          <w:rFonts w:ascii="Times New Roman" w:eastAsia="Yu Mincho" w:hAnsi="Times New Roman" w:cs="Times New Roman"/>
          <w:sz w:val="24"/>
          <w:szCs w:val="24"/>
          <w:lang w:eastAsia="ja-JP"/>
        </w:rPr>
        <w:t xml:space="preserve"> 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proofErr w:type="spellStart"/>
      <w:r>
        <w:rPr>
          <w:rFonts w:ascii="Times New Roman" w:eastAsia="Yu Mincho" w:hAnsi="Times New Roman" w:cs="Times New Roman"/>
          <w:sz w:val="24"/>
          <w:szCs w:val="24"/>
          <w:lang w:eastAsia="ja-JP"/>
        </w:rPr>
        <w:t>Nishiuchi</w:t>
      </w:r>
      <w:proofErr w:type="spellEnd"/>
      <w:r>
        <w:rPr>
          <w:rFonts w:ascii="Times New Roman" w:eastAsia="Yu Mincho" w:hAnsi="Times New Roman" w:cs="Times New Roman"/>
          <w:sz w:val="24"/>
          <w:szCs w:val="24"/>
          <w:lang w:eastAsia="ja-JP"/>
        </w:rPr>
        <w:t xml:space="preserve"> et al. (2015)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combined transfer connectivity and travel time to representing the quality of the transfer. They sorted the transfers by quality standards into four categories: street-crossing transfer, sidewalk transfer, non-walk transfer and one-leg trips. The paper measured the transfer’s effectiveness in terms of travel time and transfer by mode of the two transfer stops. </w:t>
      </w:r>
    </w:p>
    <w:p w14:paraId="5B278F7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Guo and Wilson (2011)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Some research analyze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roofErr w:type="spellStart"/>
      <w:r>
        <w:rPr>
          <w:rFonts w:ascii="Times New Roman" w:eastAsia="Yu Mincho" w:hAnsi="Times New Roman" w:cs="Times New Roman"/>
          <w:sz w:val="24"/>
          <w:szCs w:val="24"/>
          <w:lang w:eastAsia="ja-JP"/>
        </w:rPr>
        <w:t>Kujala</w:t>
      </w:r>
      <w:proofErr w:type="spellEnd"/>
      <w:r>
        <w:rPr>
          <w:rFonts w:ascii="Times New Roman" w:eastAsia="Yu Mincho" w:hAnsi="Times New Roman" w:cs="Times New Roman"/>
          <w:sz w:val="24"/>
          <w:szCs w:val="24"/>
          <w:lang w:eastAsia="ja-JP"/>
        </w:rPr>
        <w:t xml:space="preserve"> et al. (2018) 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proofErr w:type="spellStart"/>
      <w:r>
        <w:rPr>
          <w:rFonts w:ascii="Times New Roman" w:hAnsi="Times New Roman" w:cs="Times New Roman"/>
          <w:sz w:val="24"/>
          <w:szCs w:val="24"/>
        </w:rPr>
        <w:t>Ceder</w:t>
      </w:r>
      <w:proofErr w:type="spellEnd"/>
      <w:r>
        <w:rPr>
          <w:rFonts w:ascii="Times New Roman" w:hAnsi="Times New Roman" w:cs="Times New Roman"/>
          <w:sz w:val="24"/>
          <w:szCs w:val="24"/>
        </w:rPr>
        <w:t xml:space="preserve"> et al. (2001) developed a heuristic algorithm to maximize the synchronization in a PT system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2001)","plainTextFormattedCitation":"(Ceder, Golany, &amp; Tal, 2001)","previouslyFormattedCitation":"(Ceder, Golany, &amp; Tal,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(Ceder, Golany, &amp; Tal, 2001)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Yu Mincho" w:hAnsi="Times New Roman" w:cs="Times New Roman"/>
          <w:sz w:val="24"/>
          <w:szCs w:val="24"/>
          <w:lang w:eastAsia="ja-JP"/>
        </w:rPr>
        <w:t>Jang (2010) utilized smart card data to illustrate that agencies can improve the service at some critical transfer nodes.</w:t>
      </w:r>
    </w:p>
    <w:p w14:paraId="227A5D5A"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proofErr w:type="spellStart"/>
      <w:r>
        <w:rPr>
          <w:rFonts w:ascii="Times New Roman" w:eastAsia="Yu Mincho" w:hAnsi="Times New Roman" w:cs="Times New Roman"/>
          <w:sz w:val="24"/>
          <w:szCs w:val="24"/>
          <w:lang w:eastAsia="ja-JP"/>
        </w:rPr>
        <w:t>Nesheli</w:t>
      </w:r>
      <w:proofErr w:type="spellEnd"/>
      <w:r>
        <w:rPr>
          <w:rFonts w:ascii="Times New Roman" w:eastAsia="Yu Mincho" w:hAnsi="Times New Roman" w:cs="Times New Roman"/>
          <w:sz w:val="24"/>
          <w:szCs w:val="24"/>
          <w:lang w:eastAsia="ja-JP"/>
        </w:rPr>
        <w:t xml:space="preserve"> et al. (2015) 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336489D8"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literature review clearly shows that: </w:t>
      </w:r>
      <w:r>
        <w:rPr>
          <w:rFonts w:ascii="Times New Roman" w:hAnsi="Times New Roman" w:cs="Times New Roman"/>
          <w:sz w:val="24"/>
          <w:szCs w:val="24"/>
        </w:rPr>
        <w:t>d</w:t>
      </w:r>
      <w:r>
        <w:rPr>
          <w:rFonts w:ascii="Times New Roman" w:eastAsia="Yu Mincho" w:hAnsi="Times New Roman" w:cs="Times New Roman"/>
          <w:sz w:val="24"/>
          <w:szCs w:val="24"/>
          <w:lang w:eastAsia="ja-JP"/>
        </w:rPr>
        <w:t>ue to the lack of real-time data</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real-</w:t>
      </w:r>
      <w:r w:rsidR="00491109">
        <w:rPr>
          <w:rFonts w:ascii="Times New Roman" w:hAnsi="Times New Roman" w:cs="Times New Roman"/>
          <w:sz w:val="24"/>
          <w:szCs w:val="24"/>
        </w:rPr>
        <w:lastRenderedPageBreak/>
        <w:t xml:space="preserve">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Figure 1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6CFA883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further conceptualize transfers as a process of synchronization among: </w:t>
      </w:r>
      <w:proofErr w:type="spellStart"/>
      <w:r>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0AE8FD52"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Delays and transfer synchronization </w:t>
      </w:r>
    </w:p>
    <w:p w14:paraId="346AD9C9"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Figure 2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77777777" w:rsidR="00491109" w:rsidRDefault="008B1438">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p>
        </w:tc>
      </w:tr>
    </w:tbl>
    <w:p w14:paraId="3AF7DEAC"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(2)</w:t>
            </w:r>
          </w:p>
        </w:tc>
      </w:tr>
    </w:tbl>
    <w:p w14:paraId="5ECC070F"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initial delay when the receiving trip starts. </w:t>
      </w:r>
    </w:p>
    <w:p w14:paraId="5437AFD4"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TTP can be decomposed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560E023"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tc>
        <w:tc>
          <w:tcPr>
            <w:tcW w:w="280" w:type="pct"/>
            <w:vAlign w:val="center"/>
            <w:hideMark/>
          </w:tcPr>
          <w:p w14:paraId="50838059"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(3)</w:t>
            </w:r>
          </w:p>
        </w:tc>
      </w:tr>
    </w:tbl>
    <w:p w14:paraId="219C0EFF" w14:textId="77777777" w:rsidR="00491109" w:rsidRDefault="00491109" w:rsidP="00491109">
      <w:pPr>
        <w:spacing w:line="240" w:lineRule="auto"/>
        <w:jc w:val="both"/>
        <w:rPr>
          <w:rFonts w:ascii="Times New Roman" w:hAnsi="Times New Roman" w:cs="Times New Roman"/>
          <w:sz w:val="24"/>
          <w:szCs w:val="24"/>
        </w:rPr>
      </w:pPr>
    </w:p>
    <w:p w14:paraId="7AF81B75"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Pr>
          <w:rFonts w:ascii="Times New Roman" w:hAnsi="Times New Roman" w:cs="Times New Roman"/>
          <w:sz w:val="24"/>
          <w:szCs w:val="24"/>
          <w:lang w:eastAsia="ja-JP"/>
        </w:rPr>
        <w:t xml:space="preserve"> 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tbl>
      <w:tblPr>
        <w:tblStyle w:val="TableGrid"/>
        <w:tblW w:w="515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7941"/>
        <w:gridCol w:w="498"/>
      </w:tblGrid>
      <w:tr w:rsidR="00491109" w14:paraId="78918CF2" w14:textId="77777777" w:rsidTr="00491109">
        <w:trPr>
          <w:trHeight w:val="336"/>
          <w:jc w:val="center"/>
        </w:trPr>
        <w:tc>
          <w:tcPr>
            <w:tcW w:w="258" w:type="pct"/>
            <w:vAlign w:val="center"/>
          </w:tcPr>
          <w:p w14:paraId="1B425B01"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BAA06CF"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ATP=</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tc>
        <w:tc>
          <w:tcPr>
            <w:tcW w:w="280" w:type="pct"/>
            <w:vAlign w:val="center"/>
            <w:hideMark/>
          </w:tcPr>
          <w:p w14:paraId="24D41E0D"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(4)</w:t>
            </w:r>
          </w:p>
        </w:tc>
      </w:tr>
      <w:tr w:rsidR="00491109" w14:paraId="48B8CA07" w14:textId="77777777" w:rsidTr="00491109">
        <w:trPr>
          <w:trHeight w:val="336"/>
          <w:jc w:val="center"/>
        </w:trPr>
        <w:tc>
          <w:tcPr>
            <w:tcW w:w="258" w:type="pct"/>
          </w:tcPr>
          <w:p w14:paraId="02D910E9"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hideMark/>
          </w:tcPr>
          <w:p w14:paraId="5C6A6AD2" w14:textId="77777777" w:rsidR="00491109" w:rsidRDefault="00491109">
            <w:pPr>
              <w:spacing w:line="240" w:lineRule="auto"/>
              <w:ind w:firstLine="720"/>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TTP=ATP+</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m:oMathPara>
          </w:p>
        </w:tc>
        <w:tc>
          <w:tcPr>
            <w:tcW w:w="280" w:type="pct"/>
            <w:hideMark/>
          </w:tcPr>
          <w:p w14:paraId="7990F2A0"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(5)</w:t>
            </w:r>
          </w:p>
        </w:tc>
      </w:tr>
    </w:tbl>
    <w:p w14:paraId="742B4994"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w:t>
      </w:r>
    </w:p>
    <w:p w14:paraId="3BB2A734"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nth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0546B07" w14:textId="77777777" w:rsidTr="00491109">
        <w:trPr>
          <w:trHeight w:val="820"/>
          <w:jc w:val="center"/>
        </w:trPr>
        <w:tc>
          <w:tcPr>
            <w:tcW w:w="258"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122F880"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15A41E6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 if </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n-1</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&lt;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m:t>
                    </m:r>
                  </m:sup>
                </m:sSubSup>
              </m:oMath>
            </m:oMathPara>
          </w:p>
        </w:tc>
        <w:tc>
          <w:tcPr>
            <w:tcW w:w="280" w:type="pct"/>
            <w:vAlign w:val="center"/>
            <w:hideMark/>
          </w:tcPr>
          <w:p w14:paraId="542EBEA4"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(6)</w:t>
            </w:r>
          </w:p>
        </w:tc>
      </w:tr>
    </w:tbl>
    <w:p w14:paraId="619AB007"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065FD723" w14:textId="77777777"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where: M is the smallest DD and N is the largest DD.</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75B5BFA6" w:rsidR="00491109" w:rsidRDefault="00491109" w:rsidP="00491109">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535C2C65"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classify all transfers into three categories according to their real-time synchronization performance; Figure 3 provides an illustration. We can distinguish them by the receiving bus’s desynchronization degree.</w:t>
      </w:r>
    </w:p>
    <w:p w14:paraId="122002CC" w14:textId="77777777"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Pr>
          <w:rFonts w:ascii="Times New Roman" w:eastAsia="Yu Mincho" w:hAnsi="Times New Roman" w:cs="Times New Roman"/>
          <w:sz w:val="24"/>
          <w:szCs w:val="24"/>
          <w:lang w:eastAsia="ja-JP"/>
        </w:rPr>
        <w:t xml:space="preserve"> (DD = 0).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77777777"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 Under this circumstance, ATP &gt; 0. The passenger will take a bus after the scheduled bus, hence will suffer from additional time penalty other than normal delay. The missed transfers have three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4491C2AD" w14:textId="77777777" w:rsidR="00491109" w:rsidRDefault="00491109" w:rsidP="0049110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1" w:name="_Hlk529799747"/>
      <w:r>
        <w:rPr>
          <w:noProof/>
        </w:rPr>
        <w:lastRenderedPageBreak/>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1"/>
    </w:p>
    <w:p w14:paraId="6A85EF05" w14:textId="1D713CAE"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645BB">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Space-time diagram of three scenarios of a transfer synchronization process (Dash line: actual; solid line: schedule.) </w:t>
      </w:r>
    </w:p>
    <w:p w14:paraId="2F2F8CE0" w14:textId="77777777" w:rsidR="00491109" w:rsidRDefault="0049110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agencies,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(7)</w:t>
            </w:r>
          </w:p>
        </w:tc>
      </w:tr>
    </w:tbl>
    <w:p w14:paraId="7555C745" w14:textId="77777777" w:rsidR="00491109" w:rsidRDefault="008B1438"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if missed transfer</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p>
    <w:p w14:paraId="5569F221"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(8)</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43FA920"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moreover used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491109" w14:paraId="13F3527B" w14:textId="77777777" w:rsidTr="00491109">
        <w:trPr>
          <w:trHeight w:val="820"/>
          <w:jc w:val="center"/>
        </w:trPr>
        <w:tc>
          <w:tcPr>
            <w:tcW w:w="258" w:type="pct"/>
            <w:vAlign w:val="center"/>
          </w:tcPr>
          <w:p w14:paraId="0947F80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29033FB9"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7CB0567F"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(9)</w:t>
            </w:r>
          </w:p>
        </w:tc>
      </w:tr>
    </w:tbl>
    <w:p w14:paraId="78AFF466" w14:textId="77777777" w:rsidR="00491109" w:rsidRDefault="00491109" w:rsidP="0049110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745"/>
        <w:gridCol w:w="616"/>
      </w:tblGrid>
      <w:tr w:rsidR="00491109" w14:paraId="3AB525C3" w14:textId="77777777" w:rsidTr="00491109">
        <w:trPr>
          <w:trHeight w:val="820"/>
          <w:jc w:val="center"/>
        </w:trPr>
        <w:tc>
          <w:tcPr>
            <w:tcW w:w="258" w:type="pct"/>
            <w:vAlign w:val="center"/>
          </w:tcPr>
          <w:p w14:paraId="113FE45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5B27BE09"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1EB256B5" w14:textId="7777777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(10)</w:t>
            </w:r>
          </w:p>
        </w:tc>
      </w:tr>
    </w:tbl>
    <w:p w14:paraId="527672AB"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2519F93E"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707B814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4D1C9FF8" w14:textId="77777777" w:rsidR="00491109" w:rsidRDefault="00491109" w:rsidP="00491109">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Analysis</w:t>
      </w:r>
    </w:p>
    <w:p w14:paraId="5E31D910"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Using various aggregation methods, we can develop different summary measures based on varying spatial or temporal resolutions.</w:t>
      </w:r>
    </w:p>
    <w:p w14:paraId="39613133"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Spatial patterns.</w:t>
      </w:r>
      <w:r>
        <w:rPr>
          <w:rFonts w:ascii="Times New Roman" w:eastAsia="Yu Mincho" w:hAnsi="Times New Roman" w:cs="Times New Roman"/>
          <w:sz w:val="24"/>
          <w:szCs w:val="24"/>
          <w:lang w:eastAsia="ja-JP"/>
        </w:rPr>
        <w:t xml:space="preserve"> 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60A94B11"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Temporal patterns.</w:t>
      </w:r>
      <w:r>
        <w:rPr>
          <w:rFonts w:ascii="Times New Roman" w:eastAsia="Yu Mincho" w:hAnsi="Times New Roman" w:cs="Times New Roman"/>
          <w:sz w:val="24"/>
          <w:szCs w:val="24"/>
          <w:lang w:eastAsia="ja-JP"/>
        </w:rPr>
        <w:t xml:space="preserve"> 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59B1A756"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temporal patterns, we can choose some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0F6D781F" w14:textId="77777777" w:rsidR="00491109" w:rsidRDefault="00491109" w:rsidP="00491109">
      <w:pPr>
        <w:spacing w:line="240" w:lineRule="auto"/>
        <w:ind w:left="360"/>
        <w:jc w:val="both"/>
        <w:rPr>
          <w:rFonts w:ascii="Times New Roman" w:eastAsia="Yu Mincho" w:hAnsi="Times New Roman" w:cs="Times New Roman"/>
          <w:sz w:val="24"/>
          <w:szCs w:val="24"/>
          <w:lang w:eastAsia="ja-JP"/>
        </w:rPr>
      </w:pPr>
    </w:p>
    <w:p w14:paraId="75A5E39F" w14:textId="77777777" w:rsidR="00491109" w:rsidRDefault="00491109" w:rsidP="00491109">
      <w:pPr>
        <w:pStyle w:val="ListParagraph"/>
        <w:rPr>
          <w:rFonts w:eastAsia="Yu Mincho"/>
          <w:lang w:eastAsia="ja-JP"/>
        </w:rPr>
      </w:pPr>
    </w:p>
    <w:p w14:paraId="781A4AF6" w14:textId="77777777" w:rsidR="00491109" w:rsidRDefault="00491109" w:rsidP="00491109">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23BAB77B"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D1DA3C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We first designated a bus route with frequent transfers as a dedicated bus route. Then we assume all the buses running on this route behave exactly as the GTFS static scheduled (i.e., no delay). We analyzed TR and ATTP’s changing trend before and after applying the assumption and the difference’s spatial and temporal pattern.</w:t>
      </w:r>
    </w:p>
    <w:p w14:paraId="051FF43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DBL’s average impact on all trips, we calculated different impacts on the generating trips and receiving trips. We categorized all affected transfers into two classes: </w:t>
      </w:r>
      <w:r>
        <w:rPr>
          <w:rFonts w:ascii="Times New Roman" w:eastAsia="Yu Mincho" w:hAnsi="Times New Roman" w:cs="Times New Roman"/>
          <w:sz w:val="24"/>
          <w:szCs w:val="24"/>
          <w:lang w:eastAsia="ja-JP"/>
        </w:rPr>
        <w:lastRenderedPageBreak/>
        <w:t>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(5), TTP is determined by two factors: ATP, which represents the desynchronization penalty,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5E79D72" w14:textId="77777777" w:rsidR="00491109" w:rsidRDefault="00491109" w:rsidP="00491109">
      <w:pPr>
        <w:spacing w:line="240" w:lineRule="auto"/>
        <w:ind w:firstLine="72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58A724A4"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Results</w:t>
      </w:r>
    </w:p>
    <w:p w14:paraId="1F358FBB" w14:textId="07A55648"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transfer performance measurements can be applied to any PT system with published GTFS scheduled and real-time data. We conducted a case study with GTFS data from Central Ohio Transit </w:t>
      </w:r>
      <w:r w:rsidR="002637A9">
        <w:rPr>
          <w:rFonts w:ascii="Times New Roman" w:eastAsia="Yu Mincho" w:hAnsi="Times New Roman" w:cs="Times New Roman"/>
          <w:sz w:val="24"/>
          <w:szCs w:val="24"/>
          <w:lang w:eastAsia="ja-JP"/>
        </w:rPr>
        <w:t>Authority</w:t>
      </w:r>
      <w:r>
        <w:rPr>
          <w:rFonts w:ascii="Times New Roman" w:eastAsia="Yu Mincho" w:hAnsi="Times New Roman" w:cs="Times New Roman"/>
          <w:sz w:val="24"/>
          <w:szCs w:val="24"/>
          <w:lang w:eastAsia="ja-JP"/>
        </w:rPr>
        <w:t xml:space="preserve"> (COTA) in Columbus, Ohio from February 2018 to February 2019. We acquired these data using the COTA application programming interface and archived these data for analysis in a MongoDB database. </w:t>
      </w:r>
    </w:p>
    <w:p w14:paraId="64D7BED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Figure 4 and Figure 5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Figure 4 and Figure 5) and downtown area (indicated by a blue circle in Figure 4 and Figure 5). 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 </w:t>
      </w:r>
    </w:p>
    <w:p w14:paraId="43C12A01" w14:textId="77777777" w:rsidR="00491109" w:rsidRDefault="00491109" w:rsidP="00491109">
      <w:pPr>
        <w:spacing w:line="240" w:lineRule="auto"/>
        <w:jc w:val="both"/>
        <w:rPr>
          <w:rFonts w:ascii="Times New Roman" w:hAnsi="Times New Roman" w:cs="Times New Roman"/>
          <w:sz w:val="24"/>
          <w:szCs w:val="24"/>
        </w:rPr>
      </w:pPr>
    </w:p>
    <w:p w14:paraId="6475316B" w14:textId="2C48F792"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4FECB0FA" wp14:editId="141CB498">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EF5B387" w14:textId="0E72B4A8" w:rsidR="00491109" w:rsidRDefault="00491109" w:rsidP="00491109">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Spatial pattern of TR (in percentage) in 2018</w:t>
      </w:r>
    </w:p>
    <w:p w14:paraId="32F54432" w14:textId="46CA7E20"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464E515E" wp14:editId="7C82F3A8">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0645F946" w14:textId="32461D3D"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Spatial Pattern of ATTP (in minutes</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4578B45E"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Figure 6 provides the monthly trends of TR and ATTP. June, July, and December show an overall low time penalty pattern. This can be due to better overall traffic conditions during summer and Christmas 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2AA2F680"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Overall monthly TR and ATTP trend chart in 2018.</w:t>
      </w:r>
    </w:p>
    <w:p w14:paraId="0DE6304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Figure 7 provides the trends by day of the week. We can see the overall transfer risk and ATTP peak on Friday, and the core of weekdays (Wednesday, Thursday, Friday)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A2CB005"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Overall Weekday TR and ATTP Trend Chart in 2018.</w:t>
      </w:r>
    </w:p>
    <w:p w14:paraId="579499B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8 illustrates the hourly trend, while Figure 9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Figure 8 and Figure 9). </w:t>
      </w:r>
    </w:p>
    <w:p w14:paraId="7AD9BF98" w14:textId="73466D37" w:rsidR="00491109" w:rsidRDefault="00491109" w:rsidP="00491109">
      <w:pPr>
        <w:keepNext/>
        <w:spacing w:line="240" w:lineRule="auto"/>
        <w:jc w:val="center"/>
      </w:pPr>
      <w:r>
        <w:rPr>
          <w:noProof/>
        </w:rPr>
        <w:lastRenderedPageBreak/>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6208E2FF"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4755B517" w:rsidR="00491109" w:rsidRDefault="00491109" w:rsidP="00491109">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6F752DE2"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We simulated the impact of a dedicated bus lane (DBL) transfer performance at proximal stops. We specifically inspected proximal stops’ TR and ATTP difference between the scenario without DBL and the scenario with DBL. Figure 10 shows spatial pattern of the TR and ATTP difference between no DBL and DBL on COTA Route 2. For transfer risk, the spatial pattern shows there is a high improvement cluster for part of the route indicated by the red circle in Figure 10.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saves on average 1.95 minutes with a standard deviation of 14.58 minutes. Therefore, although the average time savings is modest, the impacts are highly differentiated across stops.</w:t>
      </w:r>
    </w:p>
    <w:p w14:paraId="7D6E2BFC"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the overall impact, we inspected DBL’s different impact on DBL-generating transfers and DBL-receiving transfers. Figure 11 shows that DBL will decrease desynchronization for DBL-generating transfers, while it will increase desynchronization for DBL-receiving transfers. After we combined the two classes of trips, the graph suggests DBL will not significantly improve the overall TR. However, the ATTP’s spatial and temporal pattern (Figure 10 and Figure 12) suggests the ATTP of stops on the DBL will universally decrease, both for DBL-generating and DBL-receiving transfers. This also suggests that for TTP,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5). Also, since DBL-generating transfers benefit from both less desynchronization and less delay, they save more time than the average; since desynchronization increases for DBL-receiving transfers, they still save time but less than the average.</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7EB0EC57"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Simulated differences in TR and ATTP after implementation of a dedicated bus lane </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lastRenderedPageBreak/>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3FC119FA"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75095099"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74E3EA0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Based on this simulation, we conclude that DBL is a good strategy to decrease transfer users’ total time penalty.</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2" w:name="_Hlk527674454"/>
      <w:r>
        <w:rPr>
          <w:rFonts w:ascii="Times New Roman" w:eastAsia="Yu Mincho" w:hAnsi="Times New Roman" w:cs="Times New Roman"/>
          <w:sz w:val="24"/>
          <w:szCs w:val="24"/>
          <w:lang w:eastAsia="ja-JP"/>
        </w:rPr>
        <w:t xml:space="preserve">Based on high-resolution GTFS real-time and static data,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w:t>
      </w:r>
      <w:r>
        <w:rPr>
          <w:rFonts w:ascii="Times New Roman" w:eastAsia="Yu Mincho" w:hAnsi="Times New Roman" w:cs="Times New Roman"/>
          <w:sz w:val="24"/>
          <w:szCs w:val="24"/>
          <w:lang w:eastAsia="ja-JP"/>
        </w:rPr>
        <w:lastRenderedPageBreak/>
        <w:t xml:space="preserve">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77777777" w:rsidR="00491109" w:rsidRDefault="0049110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A368AC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Algers, S., Hansen, S., &amp; Tegner, G. (1975). Role of waiting time, comfort, and convenience in modal choice for work trip. </w:t>
      </w:r>
      <w:r>
        <w:rPr>
          <w:rFonts w:ascii="Times New Roman" w:hAnsi="Times New Roman" w:cs="Times New Roman"/>
          <w:i/>
          <w:iCs/>
          <w:noProof/>
          <w:sz w:val="24"/>
          <w:szCs w:val="24"/>
        </w:rPr>
        <w:t>Transportation Research Record</w:t>
      </w:r>
      <w:r>
        <w:rPr>
          <w:rFonts w:ascii="Times New Roman" w:hAnsi="Times New Roman" w:cs="Times New Roman"/>
          <w:noProof/>
          <w:sz w:val="24"/>
          <w:szCs w:val="24"/>
        </w:rPr>
        <w:t xml:space="preserve">, </w:t>
      </w:r>
      <w:r>
        <w:rPr>
          <w:rFonts w:ascii="Times New Roman" w:hAnsi="Times New Roman" w:cs="Times New Roman"/>
          <w:i/>
          <w:iCs/>
          <w:noProof/>
          <w:sz w:val="24"/>
          <w:szCs w:val="24"/>
        </w:rPr>
        <w:t>534</w:t>
      </w:r>
      <w:r>
        <w:rPr>
          <w:rFonts w:ascii="Times New Roman" w:hAnsi="Times New Roman" w:cs="Times New Roman"/>
          <w:noProof/>
          <w:sz w:val="24"/>
          <w:szCs w:val="24"/>
        </w:rPr>
        <w:t>, 38–51.</w:t>
      </w:r>
    </w:p>
    <w:p w14:paraId="19763EF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Antrim, A., &amp; Barbeau, S. J. (2013). The many uses of GTFS data–opening the door to transit and multimodal applications. </w:t>
      </w:r>
      <w:r>
        <w:rPr>
          <w:rFonts w:ascii="Times New Roman" w:hAnsi="Times New Roman" w:cs="Times New Roman"/>
          <w:i/>
          <w:iCs/>
          <w:noProof/>
          <w:sz w:val="24"/>
          <w:szCs w:val="24"/>
        </w:rPr>
        <w:t>Location-Aware Information Systems Laboratory at the University of South Florida</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w:t>
      </w:r>
    </w:p>
    <w:p w14:paraId="6859972A"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Pr>
          <w:rFonts w:ascii="Times New Roman" w:hAnsi="Times New Roman" w:cs="Times New Roman"/>
          <w:i/>
          <w:iCs/>
          <w:noProof/>
          <w:sz w:val="24"/>
          <w:szCs w:val="24"/>
        </w:rPr>
        <w:t>Proceedings of the First ACM SIGSPATIAL Workshop on Sensor Web Enablement</w:t>
      </w:r>
      <w:r>
        <w:rPr>
          <w:rFonts w:ascii="Times New Roman" w:hAnsi="Times New Roman" w:cs="Times New Roman"/>
          <w:noProof/>
          <w:sz w:val="24"/>
          <w:szCs w:val="24"/>
        </w:rPr>
        <w:t xml:space="preserve"> (pp. 17–23). ACM.</w:t>
      </w:r>
    </w:p>
    <w:p w14:paraId="50090A83"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Bamford, C. G., Carrick, R. J., &amp; MacDonald, R. (1984). Public transport surveys: A new effective technique of data collection. </w:t>
      </w:r>
      <w:r>
        <w:rPr>
          <w:rFonts w:ascii="Times New Roman" w:hAnsi="Times New Roman" w:cs="Times New Roman"/>
          <w:i/>
          <w:iCs/>
          <w:noProof/>
          <w:sz w:val="24"/>
          <w:szCs w:val="24"/>
        </w:rPr>
        <w:t>Traffic Engineering &amp; Control</w:t>
      </w:r>
      <w:r>
        <w:rPr>
          <w:rFonts w:ascii="Times New Roman" w:hAnsi="Times New Roman" w:cs="Times New Roman"/>
          <w:noProof/>
          <w:sz w:val="24"/>
          <w:szCs w:val="24"/>
        </w:rPr>
        <w:t xml:space="preserve">, </w:t>
      </w:r>
      <w:r>
        <w:rPr>
          <w:rFonts w:ascii="Times New Roman" w:hAnsi="Times New Roman" w:cs="Times New Roman"/>
          <w:i/>
          <w:iCs/>
          <w:noProof/>
          <w:sz w:val="24"/>
          <w:szCs w:val="24"/>
        </w:rPr>
        <w:t>25</w:t>
      </w:r>
      <w:r>
        <w:rPr>
          <w:rFonts w:ascii="Times New Roman" w:hAnsi="Times New Roman" w:cs="Times New Roman"/>
          <w:noProof/>
          <w:sz w:val="24"/>
          <w:szCs w:val="24"/>
        </w:rPr>
        <w:t>(HS-037 547).</w:t>
      </w:r>
    </w:p>
    <w:p w14:paraId="05E51EC8"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Pr>
          <w:rFonts w:ascii="Times New Roman" w:hAnsi="Times New Roman" w:cs="Times New Roman"/>
          <w:i/>
          <w:iCs/>
          <w:noProof/>
          <w:sz w:val="24"/>
          <w:szCs w:val="24"/>
        </w:rPr>
        <w:t>Transport Policy</w:t>
      </w:r>
      <w:r>
        <w:rPr>
          <w:rFonts w:ascii="Times New Roman" w:hAnsi="Times New Roman" w:cs="Times New Roman"/>
          <w:noProof/>
          <w:sz w:val="24"/>
          <w:szCs w:val="24"/>
        </w:rPr>
        <w:t xml:space="preserve">, </w:t>
      </w:r>
      <w:r>
        <w:rPr>
          <w:rFonts w:ascii="Times New Roman" w:hAnsi="Times New Roman" w:cs="Times New Roman"/>
          <w:i/>
          <w:iCs/>
          <w:noProof/>
          <w:sz w:val="24"/>
          <w:szCs w:val="24"/>
        </w:rPr>
        <w:t>18</w:t>
      </w:r>
      <w:r>
        <w:rPr>
          <w:rFonts w:ascii="Times New Roman" w:hAnsi="Times New Roman" w:cs="Times New Roman"/>
          <w:noProof/>
          <w:sz w:val="24"/>
          <w:szCs w:val="24"/>
        </w:rPr>
        <w:t>(5), 676–684.</w:t>
      </w:r>
    </w:p>
    <w:p w14:paraId="41DA944E"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Bovy, P.H. and Stern, E., 2012. </w:t>
      </w:r>
      <w:r>
        <w:rPr>
          <w:rFonts w:ascii="Times New Roman" w:hAnsi="Times New Roman" w:cs="Times New Roman"/>
          <w:i/>
          <w:noProof/>
          <w:sz w:val="24"/>
          <w:szCs w:val="24"/>
        </w:rPr>
        <w:t>Route Choice: Wayfinding in Transport Networks</w:t>
      </w:r>
      <w:r>
        <w:rPr>
          <w:rFonts w:ascii="Times New Roman" w:hAnsi="Times New Roman" w:cs="Times New Roman"/>
          <w:noProof/>
          <w:sz w:val="24"/>
          <w:szCs w:val="24"/>
        </w:rPr>
        <w:t>, Springer Science &amp; Business Media.</w:t>
      </w:r>
    </w:p>
    <w:p w14:paraId="79785045"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Ceder, A. (2007). </w:t>
      </w:r>
      <w:r>
        <w:rPr>
          <w:rFonts w:ascii="Times New Roman" w:hAnsi="Times New Roman" w:cs="Times New Roman"/>
          <w:i/>
          <w:iCs/>
          <w:noProof/>
          <w:sz w:val="24"/>
          <w:szCs w:val="24"/>
        </w:rPr>
        <w:t>Public transit planning and operation: Modeling, practice and behavior</w:t>
      </w:r>
      <w:r>
        <w:rPr>
          <w:rFonts w:ascii="Times New Roman" w:hAnsi="Times New Roman" w:cs="Times New Roman"/>
          <w:noProof/>
          <w:sz w:val="24"/>
          <w:szCs w:val="24"/>
        </w:rPr>
        <w:t>. CRC press.</w:t>
      </w:r>
    </w:p>
    <w:p w14:paraId="17AC6267"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Ceder, A., Golany, B., &amp; Tal, O. (2001). Creating bus timetables with maximal synchronization. </w:t>
      </w:r>
      <w:r>
        <w:rPr>
          <w:rFonts w:ascii="Times New Roman" w:hAnsi="Times New Roman" w:cs="Times New Roman"/>
          <w:i/>
          <w:iCs/>
          <w:noProof/>
          <w:sz w:val="24"/>
          <w:szCs w:val="24"/>
        </w:rPr>
        <w:t>Transportation Research Part A: Policy and Practice</w:t>
      </w:r>
      <w:r>
        <w:rPr>
          <w:rFonts w:ascii="Times New Roman" w:hAnsi="Times New Roman" w:cs="Times New Roman"/>
          <w:noProof/>
          <w:sz w:val="24"/>
          <w:szCs w:val="24"/>
        </w:rPr>
        <w:t xml:space="preserve">, </w:t>
      </w:r>
      <w:r>
        <w:rPr>
          <w:rFonts w:ascii="Times New Roman" w:hAnsi="Times New Roman" w:cs="Times New Roman"/>
          <w:i/>
          <w:iCs/>
          <w:noProof/>
          <w:sz w:val="24"/>
          <w:szCs w:val="24"/>
        </w:rPr>
        <w:t>35</w:t>
      </w:r>
      <w:r>
        <w:rPr>
          <w:rFonts w:ascii="Times New Roman" w:hAnsi="Times New Roman" w:cs="Times New Roman"/>
          <w:noProof/>
          <w:sz w:val="24"/>
          <w:szCs w:val="24"/>
        </w:rPr>
        <w:t>(10), 913–</w:t>
      </w:r>
      <w:r>
        <w:rPr>
          <w:rFonts w:ascii="Times New Roman" w:hAnsi="Times New Roman" w:cs="Times New Roman"/>
          <w:noProof/>
          <w:sz w:val="24"/>
          <w:szCs w:val="24"/>
        </w:rPr>
        <w:lastRenderedPageBreak/>
        <w:t>928.</w:t>
      </w:r>
    </w:p>
    <w:p w14:paraId="4B47BC4B"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Dessouky, M., Hall, R., Nowroozi, A., &amp; Mourikas, K. (1999). Bus dispatching at timed transfer transit stations using bus tracking technology. </w:t>
      </w:r>
      <w:r>
        <w:rPr>
          <w:rFonts w:ascii="Times New Roman" w:hAnsi="Times New Roman" w:cs="Times New Roman"/>
          <w:i/>
          <w:iCs/>
          <w:noProof/>
          <w:sz w:val="24"/>
          <w:szCs w:val="24"/>
        </w:rPr>
        <w:t>Transportation Research Part C: Emerging Technologies</w:t>
      </w:r>
      <w:r>
        <w:rPr>
          <w:rFonts w:ascii="Times New Roman" w:hAnsi="Times New Roman" w:cs="Times New Roman"/>
          <w:noProof/>
          <w:sz w:val="24"/>
          <w:szCs w:val="24"/>
        </w:rPr>
        <w:t xml:space="preserve">, </w:t>
      </w:r>
      <w:r>
        <w:rPr>
          <w:rFonts w:ascii="Times New Roman" w:hAnsi="Times New Roman" w:cs="Times New Roman"/>
          <w:i/>
          <w:iCs/>
          <w:noProof/>
          <w:sz w:val="24"/>
          <w:szCs w:val="24"/>
        </w:rPr>
        <w:t>7</w:t>
      </w:r>
      <w:r>
        <w:rPr>
          <w:rFonts w:ascii="Times New Roman" w:hAnsi="Times New Roman" w:cs="Times New Roman"/>
          <w:noProof/>
          <w:sz w:val="24"/>
          <w:szCs w:val="24"/>
        </w:rPr>
        <w:t>(4), 187–208.</w:t>
      </w:r>
    </w:p>
    <w:p w14:paraId="1A0F6FE7"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5D449E8C"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xml:space="preserve">, </w:t>
      </w:r>
      <w:r>
        <w:rPr>
          <w:rFonts w:ascii="Times New Roman" w:hAnsi="Times New Roman" w:cs="Times New Roman"/>
          <w:i/>
          <w:iCs/>
          <w:noProof/>
          <w:sz w:val="24"/>
          <w:szCs w:val="24"/>
        </w:rPr>
        <w:t>1872</w:t>
      </w:r>
      <w:r>
        <w:rPr>
          <w:rFonts w:ascii="Times New Roman" w:hAnsi="Times New Roman" w:cs="Times New Roman"/>
          <w:noProof/>
          <w:sz w:val="24"/>
          <w:szCs w:val="24"/>
        </w:rPr>
        <w:t>(1872), 10–18. https://doi.org/10.3141/1872-02</w:t>
      </w:r>
    </w:p>
    <w:p w14:paraId="2C83527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Pr>
          <w:rFonts w:ascii="Times New Roman" w:hAnsi="Times New Roman" w:cs="Times New Roman"/>
          <w:i/>
          <w:iCs/>
          <w:noProof/>
          <w:sz w:val="24"/>
          <w:szCs w:val="24"/>
        </w:rPr>
        <w:t>Transportation Research Part A: Policy and Practice</w:t>
      </w:r>
      <w:r>
        <w:rPr>
          <w:rFonts w:ascii="Times New Roman" w:hAnsi="Times New Roman" w:cs="Times New Roman"/>
          <w:noProof/>
          <w:sz w:val="24"/>
          <w:szCs w:val="24"/>
        </w:rPr>
        <w:t xml:space="preserve">, </w:t>
      </w:r>
      <w:r>
        <w:rPr>
          <w:rFonts w:ascii="Times New Roman" w:hAnsi="Times New Roman" w:cs="Times New Roman"/>
          <w:i/>
          <w:iCs/>
          <w:noProof/>
          <w:sz w:val="24"/>
          <w:szCs w:val="24"/>
        </w:rPr>
        <w:t>45</w:t>
      </w:r>
      <w:r>
        <w:rPr>
          <w:rFonts w:ascii="Times New Roman" w:hAnsi="Times New Roman" w:cs="Times New Roman"/>
          <w:noProof/>
          <w:sz w:val="24"/>
          <w:szCs w:val="24"/>
        </w:rPr>
        <w:t>(2), 91–104. https://doi.org/10.1016/j.tra.2010.11.002</w:t>
      </w:r>
    </w:p>
    <w:p w14:paraId="44FEEDB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Hadas, Y., &amp; Ranjitkar, P. (2012). Modeling public-transit connectivity with spatial quality-of-transfer measurements. </w:t>
      </w:r>
      <w:r>
        <w:rPr>
          <w:rFonts w:ascii="Times New Roman" w:hAnsi="Times New Roman" w:cs="Times New Roman"/>
          <w:i/>
          <w:iCs/>
          <w:noProof/>
          <w:sz w:val="24"/>
          <w:szCs w:val="24"/>
        </w:rPr>
        <w:t>Journal of Transport Geography</w:t>
      </w:r>
      <w:r>
        <w:rPr>
          <w:rFonts w:ascii="Times New Roman" w:hAnsi="Times New Roman" w:cs="Times New Roman"/>
          <w:noProof/>
          <w:sz w:val="24"/>
          <w:szCs w:val="24"/>
        </w:rPr>
        <w:t xml:space="preserve">, </w:t>
      </w:r>
      <w:r>
        <w:rPr>
          <w:rFonts w:ascii="Times New Roman" w:hAnsi="Times New Roman" w:cs="Times New Roman"/>
          <w:i/>
          <w:iCs/>
          <w:noProof/>
          <w:sz w:val="24"/>
          <w:szCs w:val="24"/>
        </w:rPr>
        <w:t>22</w:t>
      </w:r>
      <w:r>
        <w:rPr>
          <w:rFonts w:ascii="Times New Roman" w:hAnsi="Times New Roman" w:cs="Times New Roman"/>
          <w:noProof/>
          <w:sz w:val="24"/>
          <w:szCs w:val="24"/>
        </w:rPr>
        <w:t>, 137–147.</w:t>
      </w:r>
    </w:p>
    <w:p w14:paraId="02F1E9C3"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Han, A. F. (1987). Assessment of Transfer Penalty to Bus Riders in Taipei: A Disaggregate Demand Modeling Approach. </w:t>
      </w:r>
      <w:r>
        <w:rPr>
          <w:rFonts w:ascii="Times New Roman" w:hAnsi="Times New Roman" w:cs="Times New Roman"/>
          <w:i/>
          <w:iCs/>
          <w:noProof/>
          <w:sz w:val="24"/>
          <w:szCs w:val="24"/>
        </w:rPr>
        <w:t>Transportation Research Record</w:t>
      </w:r>
      <w:r>
        <w:rPr>
          <w:rFonts w:ascii="Times New Roman" w:hAnsi="Times New Roman" w:cs="Times New Roman"/>
          <w:noProof/>
          <w:sz w:val="24"/>
          <w:szCs w:val="24"/>
        </w:rPr>
        <w:t xml:space="preserve">, </w:t>
      </w:r>
      <w:r>
        <w:rPr>
          <w:rFonts w:ascii="Times New Roman" w:hAnsi="Times New Roman" w:cs="Times New Roman"/>
          <w:i/>
          <w:iCs/>
          <w:noProof/>
          <w:sz w:val="24"/>
          <w:szCs w:val="24"/>
        </w:rPr>
        <w:t>1139</w:t>
      </w:r>
      <w:r>
        <w:rPr>
          <w:rFonts w:ascii="Times New Roman" w:hAnsi="Times New Roman" w:cs="Times New Roman"/>
          <w:noProof/>
          <w:sz w:val="24"/>
          <w:szCs w:val="24"/>
        </w:rPr>
        <w:t>(Table 1), 8–14.</w:t>
      </w:r>
    </w:p>
    <w:p w14:paraId="15A1896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Hunt, J. (1990). </w:t>
      </w:r>
      <w:r>
        <w:rPr>
          <w:rFonts w:ascii="Times New Roman" w:hAnsi="Times New Roman" w:cs="Times New Roman"/>
          <w:i/>
          <w:iCs/>
          <w:noProof/>
          <w:sz w:val="24"/>
          <w:szCs w:val="24"/>
        </w:rPr>
        <w:t>A logit model of public transport route choice</w:t>
      </w:r>
      <w:r>
        <w:rPr>
          <w:rFonts w:ascii="Times New Roman" w:hAnsi="Times New Roman" w:cs="Times New Roman"/>
          <w:noProof/>
          <w:sz w:val="24"/>
          <w:szCs w:val="24"/>
        </w:rPr>
        <w:t xml:space="preserve"> (Vol. 60).</w:t>
      </w:r>
    </w:p>
    <w:p w14:paraId="711FEFCE"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Ibarra-Rojas, O. J., &amp; Rios-Solis, Y. A. (2012). Synchronization of bus timetabling. </w:t>
      </w:r>
      <w:r>
        <w:rPr>
          <w:rFonts w:ascii="Times New Roman" w:hAnsi="Times New Roman" w:cs="Times New Roman"/>
          <w:i/>
          <w:iCs/>
          <w:noProof/>
          <w:sz w:val="24"/>
          <w:szCs w:val="24"/>
        </w:rPr>
        <w:t>Transportation Research Part B: Methodological</w:t>
      </w:r>
      <w:r>
        <w:rPr>
          <w:rFonts w:ascii="Times New Roman" w:hAnsi="Times New Roman" w:cs="Times New Roman"/>
          <w:noProof/>
          <w:sz w:val="24"/>
          <w:szCs w:val="24"/>
        </w:rPr>
        <w:t xml:space="preserve">, </w:t>
      </w:r>
      <w:r>
        <w:rPr>
          <w:rFonts w:ascii="Times New Roman" w:hAnsi="Times New Roman" w:cs="Times New Roman"/>
          <w:i/>
          <w:iCs/>
          <w:noProof/>
          <w:sz w:val="24"/>
          <w:szCs w:val="24"/>
        </w:rPr>
        <w:t>46</w:t>
      </w:r>
      <w:r>
        <w:rPr>
          <w:rFonts w:ascii="Times New Roman" w:hAnsi="Times New Roman" w:cs="Times New Roman"/>
          <w:noProof/>
          <w:sz w:val="24"/>
          <w:szCs w:val="24"/>
        </w:rPr>
        <w:t>(5), 599–614.</w:t>
      </w:r>
    </w:p>
    <w:p w14:paraId="713FB11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Pr>
          <w:rFonts w:ascii="Times New Roman" w:hAnsi="Times New Roman" w:cs="Times New Roman"/>
          <w:i/>
          <w:iCs/>
          <w:noProof/>
          <w:sz w:val="24"/>
          <w:szCs w:val="24"/>
        </w:rPr>
        <w:t>Transport Reviews</w:t>
      </w:r>
      <w:r>
        <w:rPr>
          <w:rFonts w:ascii="Times New Roman" w:hAnsi="Times New Roman" w:cs="Times New Roman"/>
          <w:noProof/>
          <w:sz w:val="24"/>
          <w:szCs w:val="24"/>
        </w:rPr>
        <w:t xml:space="preserve">, </w:t>
      </w:r>
      <w:r>
        <w:rPr>
          <w:rFonts w:ascii="Times New Roman" w:hAnsi="Times New Roman" w:cs="Times New Roman"/>
          <w:i/>
          <w:iCs/>
          <w:noProof/>
          <w:sz w:val="24"/>
          <w:szCs w:val="24"/>
        </w:rPr>
        <w:t>29</w:t>
      </w:r>
      <w:r>
        <w:rPr>
          <w:rFonts w:ascii="Times New Roman" w:hAnsi="Times New Roman" w:cs="Times New Roman"/>
          <w:noProof/>
          <w:sz w:val="24"/>
          <w:szCs w:val="24"/>
        </w:rPr>
        <w:t>(6), 777–800.</w:t>
      </w:r>
    </w:p>
    <w:p w14:paraId="33789D23"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Jang, W. (2010). Travel time and transfer analysis using transit smart card data.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(2144), 142–149.</w:t>
      </w:r>
    </w:p>
    <w:p w14:paraId="353117F7"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Knoppers, P., &amp; Muller, T. (1995). Optimized transfer opportunities in public transport. </w:t>
      </w:r>
      <w:r>
        <w:rPr>
          <w:rFonts w:ascii="Times New Roman" w:hAnsi="Times New Roman" w:cs="Times New Roman"/>
          <w:i/>
          <w:iCs/>
          <w:noProof/>
          <w:sz w:val="24"/>
          <w:szCs w:val="24"/>
        </w:rPr>
        <w:t>Transportation Science</w:t>
      </w:r>
      <w:r>
        <w:rPr>
          <w:rFonts w:ascii="Times New Roman" w:hAnsi="Times New Roman" w:cs="Times New Roman"/>
          <w:noProof/>
          <w:sz w:val="24"/>
          <w:szCs w:val="24"/>
        </w:rPr>
        <w:t xml:space="preserve">, </w:t>
      </w:r>
      <w:r>
        <w:rPr>
          <w:rFonts w:ascii="Times New Roman" w:hAnsi="Times New Roman" w:cs="Times New Roman"/>
          <w:i/>
          <w:iCs/>
          <w:noProof/>
          <w:sz w:val="24"/>
          <w:szCs w:val="24"/>
        </w:rPr>
        <w:t>29</w:t>
      </w:r>
      <w:r>
        <w:rPr>
          <w:rFonts w:ascii="Times New Roman" w:hAnsi="Times New Roman" w:cs="Times New Roman"/>
          <w:noProof/>
          <w:sz w:val="24"/>
          <w:szCs w:val="24"/>
        </w:rPr>
        <w:t>(1), 101–105.</w:t>
      </w:r>
    </w:p>
    <w:p w14:paraId="377126D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Pr>
          <w:rFonts w:ascii="Times New Roman" w:hAnsi="Times New Roman" w:cs="Times New Roman"/>
          <w:i/>
          <w:iCs/>
          <w:noProof/>
          <w:sz w:val="24"/>
          <w:szCs w:val="24"/>
        </w:rPr>
        <w:t>Computers, Environment and Urban Systems</w:t>
      </w:r>
      <w:r>
        <w:rPr>
          <w:rFonts w:ascii="Times New Roman" w:hAnsi="Times New Roman" w:cs="Times New Roman"/>
          <w:noProof/>
          <w:sz w:val="24"/>
          <w:szCs w:val="24"/>
        </w:rPr>
        <w:t xml:space="preserve">, </w:t>
      </w:r>
      <w:r>
        <w:rPr>
          <w:rFonts w:ascii="Times New Roman" w:hAnsi="Times New Roman" w:cs="Times New Roman"/>
          <w:i/>
          <w:iCs/>
          <w:noProof/>
          <w:sz w:val="24"/>
          <w:szCs w:val="24"/>
        </w:rPr>
        <w:t>67</w:t>
      </w:r>
      <w:r>
        <w:rPr>
          <w:rFonts w:ascii="Times New Roman" w:hAnsi="Times New Roman" w:cs="Times New Roman"/>
          <w:noProof/>
          <w:sz w:val="24"/>
          <w:szCs w:val="24"/>
        </w:rPr>
        <w:t>, 41–54.</w:t>
      </w:r>
    </w:p>
    <w:p w14:paraId="0AEAC95D"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Li, J.-Q., Song, M., Li, M., &amp; Zhang, W.-B. (2009). Planning for bus rapid transit in single dedicated bus lane.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(2111), 76–82.</w:t>
      </w:r>
    </w:p>
    <w:p w14:paraId="6C3BB96B"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Liu, R., Pendyala, R., &amp; Polzin, S. (1997). Assessment of intermodal transfer penalties using stated preference data.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(1607), 74–80.</w:t>
      </w:r>
    </w:p>
    <w:p w14:paraId="4A452665"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Liu, T., Ceder, A., Ma, J., Nesheli, M. M., &amp; Guan, W. (2015). Optimal synchronized </w:t>
      </w:r>
      <w:r>
        <w:rPr>
          <w:rFonts w:ascii="Times New Roman" w:hAnsi="Times New Roman" w:cs="Times New Roman"/>
          <w:noProof/>
          <w:sz w:val="24"/>
          <w:szCs w:val="24"/>
        </w:rPr>
        <w:lastRenderedPageBreak/>
        <w:t xml:space="preserve">transfers in schedule-based public transport networks using online operational tactics. </w:t>
      </w:r>
      <w:r>
        <w:rPr>
          <w:rFonts w:ascii="Times New Roman" w:hAnsi="Times New Roman" w:cs="Times New Roman"/>
          <w:i/>
          <w:iCs/>
          <w:noProof/>
          <w:sz w:val="24"/>
          <w:szCs w:val="24"/>
        </w:rPr>
        <w:t>Transportation Research Record: Journal of the Transportation Research Board</w:t>
      </w:r>
      <w:r>
        <w:rPr>
          <w:rFonts w:ascii="Times New Roman" w:hAnsi="Times New Roman" w:cs="Times New Roman"/>
          <w:noProof/>
          <w:sz w:val="24"/>
          <w:szCs w:val="24"/>
        </w:rPr>
        <w:t>, (2533), 78–90.</w:t>
      </w:r>
    </w:p>
    <w:p w14:paraId="59DED98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&amp; Ceder, A. A. (2014). Optimal combinations of selected tactics for public-transport transfer synchronization. </w:t>
      </w:r>
      <w:r>
        <w:rPr>
          <w:rFonts w:ascii="Times New Roman" w:hAnsi="Times New Roman" w:cs="Times New Roman"/>
          <w:i/>
          <w:iCs/>
          <w:noProof/>
          <w:sz w:val="24"/>
          <w:szCs w:val="24"/>
        </w:rPr>
        <w:t>Transportation Research Part C: Emerging Technologies</w:t>
      </w:r>
      <w:r>
        <w:rPr>
          <w:rFonts w:ascii="Times New Roman" w:hAnsi="Times New Roman" w:cs="Times New Roman"/>
          <w:noProof/>
          <w:sz w:val="24"/>
          <w:szCs w:val="24"/>
        </w:rPr>
        <w:t xml:space="preserve">, </w:t>
      </w:r>
      <w:r>
        <w:rPr>
          <w:rFonts w:ascii="Times New Roman" w:hAnsi="Times New Roman" w:cs="Times New Roman"/>
          <w:i/>
          <w:iCs/>
          <w:noProof/>
          <w:sz w:val="24"/>
          <w:szCs w:val="24"/>
        </w:rPr>
        <w:t>48</w:t>
      </w:r>
      <w:r>
        <w:rPr>
          <w:rFonts w:ascii="Times New Roman" w:hAnsi="Times New Roman" w:cs="Times New Roman"/>
          <w:noProof/>
          <w:sz w:val="24"/>
          <w:szCs w:val="24"/>
        </w:rPr>
        <w:t>, 491–504.</w:t>
      </w:r>
    </w:p>
    <w:p w14:paraId="554B7B36"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&amp; Ceder, A. A. (2015). Improved reliability of public transportation using real-time transfer synchronization. </w:t>
      </w:r>
      <w:r>
        <w:rPr>
          <w:rFonts w:ascii="Times New Roman" w:hAnsi="Times New Roman" w:cs="Times New Roman"/>
          <w:i/>
          <w:iCs/>
          <w:noProof/>
          <w:sz w:val="24"/>
          <w:szCs w:val="24"/>
        </w:rPr>
        <w:t>Transportation Research Part C: Emerging Technologies</w:t>
      </w:r>
      <w:r>
        <w:rPr>
          <w:rFonts w:ascii="Times New Roman" w:hAnsi="Times New Roman" w:cs="Times New Roman"/>
          <w:noProof/>
          <w:sz w:val="24"/>
          <w:szCs w:val="24"/>
        </w:rPr>
        <w:t xml:space="preserve">, </w:t>
      </w:r>
      <w:r>
        <w:rPr>
          <w:rFonts w:ascii="Times New Roman" w:hAnsi="Times New Roman" w:cs="Times New Roman"/>
          <w:i/>
          <w:iCs/>
          <w:noProof/>
          <w:sz w:val="24"/>
          <w:szCs w:val="24"/>
        </w:rPr>
        <w:t>60</w:t>
      </w:r>
      <w:r>
        <w:rPr>
          <w:rFonts w:ascii="Times New Roman" w:hAnsi="Times New Roman" w:cs="Times New Roman"/>
          <w:noProof/>
          <w:sz w:val="24"/>
          <w:szCs w:val="24"/>
        </w:rPr>
        <w:t>, 525–539.</w:t>
      </w:r>
    </w:p>
    <w:p w14:paraId="4BC2B3CA"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Ceder, A. A., &amp; Liu, T. (2015). A robust, tactic-based, real-time framework for public-transport transfer synchronization. </w:t>
      </w:r>
      <w:r>
        <w:rPr>
          <w:rFonts w:ascii="Times New Roman" w:hAnsi="Times New Roman" w:cs="Times New Roman"/>
          <w:i/>
          <w:iCs/>
          <w:noProof/>
          <w:sz w:val="24"/>
          <w:szCs w:val="24"/>
        </w:rPr>
        <w:t>Transportation Research Procedia</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 246–268.</w:t>
      </w:r>
    </w:p>
    <w:p w14:paraId="077818D0"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Pr>
          <w:rFonts w:ascii="Times New Roman" w:hAnsi="Times New Roman" w:cs="Times New Roman"/>
          <w:i/>
          <w:iCs/>
          <w:noProof/>
          <w:sz w:val="24"/>
          <w:szCs w:val="24"/>
        </w:rPr>
        <w:t>IEEE Transactions on Intelligent Transportation Systems</w:t>
      </w:r>
      <w:r>
        <w:rPr>
          <w:rFonts w:ascii="Times New Roman" w:hAnsi="Times New Roman" w:cs="Times New Roman"/>
          <w:noProof/>
          <w:sz w:val="24"/>
          <w:szCs w:val="24"/>
        </w:rPr>
        <w:t xml:space="preserve">, </w:t>
      </w:r>
      <w:r>
        <w:rPr>
          <w:rFonts w:ascii="Times New Roman" w:hAnsi="Times New Roman" w:cs="Times New Roman"/>
          <w:i/>
          <w:iCs/>
          <w:noProof/>
          <w:sz w:val="24"/>
          <w:szCs w:val="24"/>
        </w:rPr>
        <w:t>17</w:t>
      </w:r>
      <w:r>
        <w:rPr>
          <w:rFonts w:ascii="Times New Roman" w:hAnsi="Times New Roman" w:cs="Times New Roman"/>
          <w:noProof/>
          <w:sz w:val="24"/>
          <w:szCs w:val="24"/>
        </w:rPr>
        <w:t>(11), 3220–3229.</w:t>
      </w:r>
    </w:p>
    <w:p w14:paraId="255CA188"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Nesheli, M. M., Cedera, A. A., &amp; Hassold, S. (2014). </w:t>
      </w:r>
      <w:r>
        <w:rPr>
          <w:rFonts w:ascii="Times New Roman" w:hAnsi="Times New Roman" w:cs="Times New Roman"/>
          <w:i/>
          <w:iCs/>
          <w:noProof/>
          <w:sz w:val="24"/>
          <w:szCs w:val="24"/>
        </w:rPr>
        <w:t>Optimal holding and skip-stop/segment tactics for public-transport transfer synchronization</w:t>
      </w:r>
      <w:r>
        <w:rPr>
          <w:rFonts w:ascii="Times New Roman" w:hAnsi="Times New Roman" w:cs="Times New Roman"/>
          <w:noProof/>
          <w:sz w:val="24"/>
          <w:szCs w:val="24"/>
        </w:rPr>
        <w:t>.</w:t>
      </w:r>
    </w:p>
    <w:p w14:paraId="6DAD9A3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Pr>
          <w:rFonts w:ascii="Times New Roman" w:hAnsi="Times New Roman" w:cs="Times New Roman"/>
          <w:i/>
          <w:iCs/>
          <w:noProof/>
          <w:sz w:val="24"/>
          <w:szCs w:val="24"/>
        </w:rPr>
        <w:t>Transportation Research Procedia</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 391–401.</w:t>
      </w:r>
    </w:p>
    <w:p w14:paraId="38016E6B"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Planning, C. T., &amp; Transportation, U. S. D. of. (1997). </w:t>
      </w:r>
      <w:r>
        <w:rPr>
          <w:rFonts w:ascii="Times New Roman" w:hAnsi="Times New Roman" w:cs="Times New Roman"/>
          <w:i/>
          <w:iCs/>
          <w:noProof/>
          <w:sz w:val="24"/>
          <w:szCs w:val="24"/>
        </w:rPr>
        <w:t>Transfer penalties in urban mode choice modeling</w:t>
      </w:r>
      <w:r>
        <w:rPr>
          <w:rFonts w:ascii="Times New Roman" w:hAnsi="Times New Roman" w:cs="Times New Roman"/>
          <w:noProof/>
          <w:sz w:val="24"/>
          <w:szCs w:val="24"/>
        </w:rPr>
        <w:t>. US Dept. of Transportation.</w:t>
      </w:r>
    </w:p>
    <w:p w14:paraId="29F5DB42"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Sun, L., Rong, J., Ren, F., &amp; Yao, L. (2007). Evaluation of passenger transfer efficiency of an urban public transportation terminal. In </w:t>
      </w:r>
      <w:r>
        <w:rPr>
          <w:rFonts w:ascii="Times New Roman" w:hAnsi="Times New Roman" w:cs="Times New Roman"/>
          <w:i/>
          <w:iCs/>
          <w:noProof/>
          <w:sz w:val="24"/>
          <w:szCs w:val="24"/>
        </w:rPr>
        <w:t>IEEE Conference on Intelligent Transportation Systems, Proceedings, ITSC</w:t>
      </w:r>
      <w:r>
        <w:rPr>
          <w:rFonts w:ascii="Times New Roman" w:hAnsi="Times New Roman" w:cs="Times New Roman"/>
          <w:noProof/>
          <w:sz w:val="24"/>
          <w:szCs w:val="24"/>
        </w:rPr>
        <w:t xml:space="preserve"> (pp. 436–441). IEEE. https://doi.org/10.1109/ITSC.2007.4357762</w:t>
      </w:r>
    </w:p>
    <w:p w14:paraId="57E94B64"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Sun, L., Rong, J., &amp; Yao, L. (2010). Measuring Transfer Efficiency of Urban Public Transportation Terminals by Data Envelopment Analysis. </w:t>
      </w:r>
      <w:r>
        <w:rPr>
          <w:rFonts w:ascii="Times New Roman" w:hAnsi="Times New Roman" w:cs="Times New Roman"/>
          <w:i/>
          <w:iCs/>
          <w:noProof/>
          <w:sz w:val="24"/>
          <w:szCs w:val="24"/>
        </w:rPr>
        <w:t>Journal of Urban Planning and Development</w:t>
      </w:r>
      <w:r>
        <w:rPr>
          <w:rFonts w:ascii="Times New Roman" w:hAnsi="Times New Roman" w:cs="Times New Roman"/>
          <w:noProof/>
          <w:sz w:val="24"/>
          <w:szCs w:val="24"/>
        </w:rPr>
        <w:t xml:space="preserve">, </w:t>
      </w:r>
      <w:r>
        <w:rPr>
          <w:rFonts w:ascii="Times New Roman" w:hAnsi="Times New Roman" w:cs="Times New Roman"/>
          <w:i/>
          <w:iCs/>
          <w:noProof/>
          <w:sz w:val="24"/>
          <w:szCs w:val="24"/>
        </w:rPr>
        <w:t>136</w:t>
      </w:r>
      <w:r>
        <w:rPr>
          <w:rFonts w:ascii="Times New Roman" w:hAnsi="Times New Roman" w:cs="Times New Roman"/>
          <w:noProof/>
          <w:sz w:val="24"/>
          <w:szCs w:val="24"/>
        </w:rPr>
        <w:t>(4), 314–319. https://doi.org/10.1061/(ASCE)UP.1943-5444.0000028</w:t>
      </w:r>
    </w:p>
    <w:p w14:paraId="2BFE220E"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Walker, J. (2012). </w:t>
      </w:r>
      <w:r>
        <w:rPr>
          <w:rFonts w:ascii="Times New Roman" w:hAnsi="Times New Roman" w:cs="Times New Roman"/>
          <w:i/>
          <w:iCs/>
          <w:noProof/>
          <w:sz w:val="24"/>
          <w:szCs w:val="24"/>
        </w:rPr>
        <w:t>Human transit: How clearer thinking about public transit can enrich our communities and our lives</w:t>
      </w:r>
      <w:r>
        <w:rPr>
          <w:rFonts w:ascii="Times New Roman" w:hAnsi="Times New Roman" w:cs="Times New Roman"/>
          <w:noProof/>
          <w:sz w:val="24"/>
          <w:szCs w:val="24"/>
        </w:rPr>
        <w:t>. Island Press.</w:t>
      </w:r>
    </w:p>
    <w:p w14:paraId="4F6D4E0C"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Wardman, M. (1998). A review of British evidence on the valuations of time and service quality.</w:t>
      </w:r>
    </w:p>
    <w:p w14:paraId="2F580FD5" w14:textId="77777777" w:rsidR="00491109" w:rsidRDefault="00491109" w:rsidP="00491109">
      <w:pPr>
        <w:widowControl w:val="0"/>
        <w:autoSpaceDE w:val="0"/>
        <w:autoSpaceDN w:val="0"/>
        <w:adjustRightInd w:val="0"/>
        <w:spacing w:line="240" w:lineRule="auto"/>
        <w:ind w:left="480" w:hanging="480"/>
        <w:jc w:val="both"/>
        <w:rPr>
          <w:rFonts w:ascii="Times New Roman" w:hAnsi="Times New Roman" w:cs="Times New Roman"/>
          <w:noProof/>
          <w:sz w:val="24"/>
        </w:rPr>
      </w:pPr>
      <w:r>
        <w:rPr>
          <w:rFonts w:ascii="Times New Roman" w:hAnsi="Times New Roman" w:cs="Times New Roman"/>
          <w:noProof/>
          <w:sz w:val="24"/>
          <w:szCs w:val="24"/>
        </w:rPr>
        <w:t xml:space="preserve">Wardman, M., Hine, J., &amp; Stradling, S. (2001). Interchange and Travel Choice Volume 2. </w:t>
      </w:r>
      <w:r>
        <w:rPr>
          <w:rFonts w:ascii="Times New Roman" w:hAnsi="Times New Roman" w:cs="Times New Roman"/>
          <w:i/>
          <w:iCs/>
          <w:noProof/>
          <w:sz w:val="24"/>
          <w:szCs w:val="24"/>
        </w:rPr>
        <w:t>Scottish Executive Central Research Unit</w:t>
      </w:r>
      <w:r>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ACD98" w14:textId="77777777" w:rsidR="0005679C" w:rsidRDefault="0005679C" w:rsidP="00491109">
      <w:pPr>
        <w:spacing w:after="0" w:line="240" w:lineRule="auto"/>
      </w:pPr>
      <w:r>
        <w:separator/>
      </w:r>
    </w:p>
  </w:endnote>
  <w:endnote w:type="continuationSeparator" w:id="0">
    <w:p w14:paraId="2CB20F05" w14:textId="77777777" w:rsidR="0005679C" w:rsidRDefault="0005679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2576C" w14:textId="77777777" w:rsidR="0005679C" w:rsidRDefault="0005679C" w:rsidP="00491109">
      <w:pPr>
        <w:spacing w:after="0" w:line="240" w:lineRule="auto"/>
      </w:pPr>
      <w:r>
        <w:separator/>
      </w:r>
    </w:p>
  </w:footnote>
  <w:footnote w:type="continuationSeparator" w:id="0">
    <w:p w14:paraId="721A799A" w14:textId="77777777" w:rsidR="0005679C" w:rsidRDefault="0005679C" w:rsidP="00491109">
      <w:pPr>
        <w:spacing w:after="0" w:line="240" w:lineRule="auto"/>
      </w:pPr>
      <w:r>
        <w:continuationSeparator/>
      </w:r>
    </w:p>
  </w:footnote>
  <w:footnote w:id="1">
    <w:p w14:paraId="221015B9" w14:textId="77777777" w:rsidR="008B1438" w:rsidRDefault="008B1438"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8B1438" w:rsidRDefault="008B1438"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20EE8"/>
    <w:rsid w:val="0005679C"/>
    <w:rsid w:val="00060006"/>
    <w:rsid w:val="00110835"/>
    <w:rsid w:val="0014344D"/>
    <w:rsid w:val="00171F17"/>
    <w:rsid w:val="00177107"/>
    <w:rsid w:val="0019318E"/>
    <w:rsid w:val="00213852"/>
    <w:rsid w:val="00226FEF"/>
    <w:rsid w:val="00227FAE"/>
    <w:rsid w:val="00244F2B"/>
    <w:rsid w:val="002637A9"/>
    <w:rsid w:val="002B2F62"/>
    <w:rsid w:val="00306A7A"/>
    <w:rsid w:val="00352D33"/>
    <w:rsid w:val="00382312"/>
    <w:rsid w:val="00391233"/>
    <w:rsid w:val="003A33CD"/>
    <w:rsid w:val="003F636D"/>
    <w:rsid w:val="0045276C"/>
    <w:rsid w:val="00491109"/>
    <w:rsid w:val="004E29CA"/>
    <w:rsid w:val="004E5439"/>
    <w:rsid w:val="006029F5"/>
    <w:rsid w:val="00612C75"/>
    <w:rsid w:val="0062737A"/>
    <w:rsid w:val="00633C3B"/>
    <w:rsid w:val="00637433"/>
    <w:rsid w:val="006B6338"/>
    <w:rsid w:val="006B7A0F"/>
    <w:rsid w:val="00722546"/>
    <w:rsid w:val="007418B7"/>
    <w:rsid w:val="007712B2"/>
    <w:rsid w:val="007F3CD5"/>
    <w:rsid w:val="00844950"/>
    <w:rsid w:val="008A2D27"/>
    <w:rsid w:val="008A59A6"/>
    <w:rsid w:val="008B1438"/>
    <w:rsid w:val="008B22CD"/>
    <w:rsid w:val="009568F2"/>
    <w:rsid w:val="009A4F28"/>
    <w:rsid w:val="009C05A6"/>
    <w:rsid w:val="009E2D3B"/>
    <w:rsid w:val="00A15661"/>
    <w:rsid w:val="00A87E72"/>
    <w:rsid w:val="00AA2B22"/>
    <w:rsid w:val="00AB06B7"/>
    <w:rsid w:val="00AC1265"/>
    <w:rsid w:val="00AD59F3"/>
    <w:rsid w:val="00B66BD0"/>
    <w:rsid w:val="00BA1744"/>
    <w:rsid w:val="00BB32B0"/>
    <w:rsid w:val="00BD79A8"/>
    <w:rsid w:val="00BE2D3F"/>
    <w:rsid w:val="00BE48BA"/>
    <w:rsid w:val="00C43F58"/>
    <w:rsid w:val="00C8090A"/>
    <w:rsid w:val="00CB5BB1"/>
    <w:rsid w:val="00CD172D"/>
    <w:rsid w:val="00D0135A"/>
    <w:rsid w:val="00D53349"/>
    <w:rsid w:val="00D645BB"/>
    <w:rsid w:val="00DA3081"/>
    <w:rsid w:val="00DB162D"/>
    <w:rsid w:val="00DB56FB"/>
    <w:rsid w:val="00DC7754"/>
    <w:rsid w:val="00DF5E3D"/>
    <w:rsid w:val="00E23B3D"/>
    <w:rsid w:val="00EE312A"/>
    <w:rsid w:val="00F145D6"/>
    <w:rsid w:val="00F17C4A"/>
    <w:rsid w:val="00F24C26"/>
    <w:rsid w:val="00F5671C"/>
    <w:rsid w:val="00F657CD"/>
    <w:rsid w:val="00F7253F"/>
    <w:rsid w:val="00F85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14428</Words>
  <Characters>82246</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cp:revision>
  <cp:lastPrinted>2019-03-29T20:31:00Z</cp:lastPrinted>
  <dcterms:created xsi:type="dcterms:W3CDTF">2019-09-12T21:31:00Z</dcterms:created>
  <dcterms:modified xsi:type="dcterms:W3CDTF">2019-09-12T21:31:00Z</dcterms:modified>
</cp:coreProperties>
</file>