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37D9E3CB"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w:t>
      </w:r>
      <w:r w:rsidR="00491109">
        <w:rPr>
          <w:rFonts w:ascii="Times New Roman" w:eastAsia="Yu Mincho" w:hAnsi="Times New Roman" w:cs="Times New Roman"/>
          <w:sz w:val="24"/>
          <w:szCs w:val="24"/>
          <w:lang w:eastAsia="ja-JP"/>
        </w:rPr>
        <w:lastRenderedPageBreak/>
        <w:t xml:space="preserve">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Pr="00552E7D" w:rsidRDefault="00491109" w:rsidP="0049110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are expensive and time-consuming to collect. For example, Guo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36DED2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FED083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7982ED9E"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cost based on both users’ and operators’ perspective</w:t>
      </w:r>
      <w:r w:rsidR="00AD75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AD75AD">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5AC38C7A"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1AF10222" w14:textId="77777777" w:rsidR="001F4CDC" w:rsidRDefault="001F4CDC" w:rsidP="002D3449">
      <w:pPr>
        <w:spacing w:line="240" w:lineRule="auto"/>
        <w:ind w:firstLine="720"/>
        <w:jc w:val="both"/>
        <w:rPr>
          <w:rFonts w:ascii="Times New Roman" w:eastAsia="Yu Mincho" w:hAnsi="Times New Roman" w:cs="Times New Roman"/>
          <w:sz w:val="24"/>
          <w:szCs w:val="24"/>
          <w:lang w:eastAsia="ja-JP"/>
        </w:rPr>
      </w:pP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w:t>
      </w:r>
      <w:r w:rsidR="00F719D0">
        <w:rPr>
          <w:rFonts w:ascii="Times New Roman" w:eastAsia="Yu Mincho" w:hAnsi="Times New Roman" w:cs="Times New Roman"/>
          <w:sz w:val="24"/>
          <w:szCs w:val="24"/>
          <w:lang w:eastAsia="ja-JP"/>
        </w:rPr>
        <w:lastRenderedPageBreak/>
        <w:t xml:space="preserve">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w:t>
      </w:r>
      <w:r w:rsidR="00491109">
        <w:rPr>
          <w:rFonts w:ascii="Times New Roman" w:eastAsia="Yu Mincho" w:hAnsi="Times New Roman" w:cs="Times New Roman"/>
          <w:sz w:val="24"/>
          <w:szCs w:val="24"/>
          <w:lang w:eastAsia="ja-JP"/>
        </w:rPr>
        <w:lastRenderedPageBreak/>
        <w:t xml:space="preserve">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0"/>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0"/>
      <w:r>
        <w:rPr>
          <w:rFonts w:ascii="Times New Roman" w:eastAsia="Yu Mincho" w:hAnsi="Times New Roman" w:cs="Times New Roman"/>
          <w:sz w:val="24"/>
          <w:szCs w:val="24"/>
          <w:lang w:eastAsia="ja-JP"/>
        </w:rPr>
        <w:t>ization</w:t>
      </w:r>
      <w:r>
        <w:rPr>
          <w:rStyle w:val="CommentReference"/>
        </w:rPr>
        <w:commentReference w:id="0"/>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1"/>
      <w:r>
        <w:rPr>
          <w:rFonts w:ascii="Times New Roman" w:hAnsi="Times New Roman" w:cs="Times New Roman"/>
          <w:noProof/>
          <w:sz w:val="24"/>
          <w:szCs w:val="24"/>
        </w:rPr>
        <w:drawing>
          <wp:inline distT="0" distB="0" distL="0" distR="0" wp14:anchorId="2FC05CDA" wp14:editId="3F224158">
            <wp:extent cx="5486400" cy="28325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400" cy="2832594"/>
                    </a:xfrm>
                    <a:prstGeom prst="rect">
                      <a:avLst/>
                    </a:prstGeom>
                    <a:noFill/>
                    <a:ln>
                      <a:noFill/>
                    </a:ln>
                  </pic:spPr>
                </pic:pic>
              </a:graphicData>
            </a:graphic>
          </wp:inline>
        </w:drawing>
      </w:r>
      <w:commentRangeEnd w:id="1"/>
      <w:r w:rsidR="00A22B6E">
        <w:rPr>
          <w:rStyle w:val="CommentReference"/>
        </w:rPr>
        <w:commentReference w:id="1"/>
      </w:r>
    </w:p>
    <w:p w14:paraId="2A0F8079" w14:textId="4A602B8A" w:rsidR="00880852" w:rsidRDefault="00880852" w:rsidP="00880852">
      <w:pPr>
        <w:spacing w:line="240" w:lineRule="auto"/>
        <w:jc w:val="center"/>
        <w:rPr>
          <w:rFonts w:ascii="Times New Roman" w:hAnsi="Times New Roman" w:cs="Times New Roman"/>
          <w:sz w:val="24"/>
          <w:szCs w:val="24"/>
        </w:rPr>
      </w:pPr>
      <w:bookmarkStart w:id="2"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delayed transfer and the corresponding scheduled transfer</w:t>
      </w:r>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w:t>
      </w:r>
      <w:r>
        <w:rPr>
          <w:rFonts w:ascii="Times New Roman" w:eastAsia="Yu Mincho" w:hAnsi="Times New Roman" w:cs="Times New Roman"/>
          <w:sz w:val="24"/>
          <w:szCs w:val="24"/>
          <w:lang w:eastAsia="ja-JP"/>
        </w:rPr>
        <w:lastRenderedPageBreak/>
        <w:t xml:space="preserve">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552E7D"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E280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E2805">
            <w:pPr>
              <w:spacing w:line="240" w:lineRule="auto"/>
              <w:jc w:val="center"/>
              <w:rPr>
                <w:rFonts w:ascii="Times New Roman" w:eastAsia="Yu Mincho" w:hAnsi="Times New Roman" w:cs="Times New Roman"/>
                <w:sz w:val="24"/>
                <w:szCs w:val="24"/>
                <w:lang w:eastAsia="ja-JP"/>
              </w:rPr>
            </w:pPr>
            <w:bookmarkStart w:id="3" w:name="_Ref19453691"/>
            <w:bookmarkStart w:id="4"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3"/>
            <w:r>
              <w:rPr>
                <w:rFonts w:ascii="Times New Roman" w:eastAsia="Yu Mincho" w:hAnsi="Times New Roman" w:cs="Times New Roman"/>
                <w:sz w:val="24"/>
                <w:szCs w:val="24"/>
                <w:lang w:eastAsia="ja-JP"/>
              </w:rPr>
              <w:t>)</w:t>
            </w:r>
            <w:bookmarkEnd w:id="4"/>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E2805">
        <w:trPr>
          <w:trHeight w:val="820"/>
          <w:jc w:val="center"/>
        </w:trPr>
        <w:tc>
          <w:tcPr>
            <w:tcW w:w="153" w:type="pct"/>
            <w:vAlign w:val="center"/>
          </w:tcPr>
          <w:p w14:paraId="3A3C2431"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E2805">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E2805">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643321A2"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1107655F" w:rsidR="00A636AC" w:rsidRDefault="00A636AC" w:rsidP="00A636AC">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5"/>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4E7B59C5"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5"/>
      <w:r>
        <w:rPr>
          <w:rStyle w:val="CommentReference"/>
        </w:rPr>
        <w:commentReference w:id="5"/>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w:t>
      </w:r>
      <w:r w:rsidR="00491109">
        <w:rPr>
          <w:rFonts w:ascii="Times New Roman" w:eastAsia="Yu Mincho" w:hAnsi="Times New Roman" w:cs="Times New Roman"/>
          <w:sz w:val="24"/>
          <w:szCs w:val="24"/>
          <w:lang w:eastAsia="ja-JP"/>
        </w:rPr>
        <w:lastRenderedPageBreak/>
        <w:t>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6"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6"/>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054253D0" w:rsidR="00B04143" w:rsidRDefault="00B04143" w:rsidP="00EE2805">
            <w:pPr>
              <w:spacing w:line="240" w:lineRule="auto"/>
              <w:jc w:val="center"/>
              <w:rPr>
                <w:rFonts w:ascii="Times New Roman" w:eastAsia="Yu Mincho" w:hAnsi="Times New Roman" w:cs="Times New Roman"/>
                <w:sz w:val="24"/>
                <w:szCs w:val="24"/>
                <w:lang w:eastAsia="ja-JP"/>
              </w:rPr>
            </w:pPr>
            <w:bookmarkStart w:id="7"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7A5A37">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7"/>
          </w:p>
        </w:tc>
      </w:tr>
    </w:tbl>
    <w:p w14:paraId="7F696214" w14:textId="735ECE1F" w:rsidR="00B04143" w:rsidRDefault="00552E7D"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lastRenderedPageBreak/>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8"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3995"/>
                    </a:xfrm>
                    <a:prstGeom prst="rect">
                      <a:avLst/>
                    </a:prstGeom>
                  </pic:spPr>
                </pic:pic>
              </a:graphicData>
            </a:graphic>
          </wp:inline>
        </w:drawing>
      </w:r>
    </w:p>
    <w:p w14:paraId="6738ECED" w14:textId="77D24273" w:rsidR="00491109" w:rsidRDefault="00491109" w:rsidP="00491109">
      <w:pPr>
        <w:spacing w:line="240" w:lineRule="auto"/>
        <w:jc w:val="center"/>
        <w:rPr>
          <w:rFonts w:ascii="Times New Roman" w:eastAsia="Yu Mincho" w:hAnsi="Times New Roman" w:cs="Times New Roman"/>
          <w:sz w:val="24"/>
          <w:szCs w:val="24"/>
          <w:lang w:eastAsia="ja-JP"/>
        </w:rPr>
      </w:pPr>
      <w:bookmarkStart w:id="9"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Overall monthly TR and ATTP trend chart.</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64765"/>
                    </a:xfrm>
                    <a:prstGeom prst="rect">
                      <a:avLst/>
                    </a:prstGeom>
                  </pic:spPr>
                </pic:pic>
              </a:graphicData>
            </a:graphic>
          </wp:inline>
        </w:drawing>
      </w:r>
    </w:p>
    <w:p w14:paraId="08AC5DBC" w14:textId="49E7DCA2"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7ED4FBBC"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t night, the </w:t>
      </w:r>
      <w:r w:rsidR="006D2EB3">
        <w:rPr>
          <w:rFonts w:ascii="Times New Roman" w:eastAsia="Yu Mincho" w:hAnsi="Times New Roman" w:cs="Times New Roman"/>
          <w:sz w:val="24"/>
          <w:szCs w:val="24"/>
          <w:lang w:eastAsia="ja-JP"/>
        </w:rPr>
        <w:t>time penalties</w:t>
      </w:r>
      <w:r w:rsidR="00491109">
        <w:rPr>
          <w:rFonts w:ascii="Times New Roman" w:eastAsia="Yu Mincho" w:hAnsi="Times New Roman" w:cs="Times New Roman"/>
          <w:sz w:val="24"/>
          <w:szCs w:val="24"/>
          <w:lang w:eastAsia="ja-JP"/>
        </w:rPr>
        <w:t xml:space="preserve">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2" w:name="_Ref22114617"/>
      <w:r>
        <w:t xml:space="preserve">Figure </w:t>
      </w:r>
      <w:fldSimple w:instr=" SEQ Figure \* ARABIC ">
        <w:r>
          <w:t>7</w:t>
        </w:r>
      </w:fldSimple>
      <w:bookmarkEnd w:id="12"/>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3"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4"/>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4"/>
      <w:r>
        <w:rPr>
          <w:rStyle w:val="CommentReference"/>
        </w:rPr>
        <w:commentReference w:id="14"/>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3"/>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20D7B366" w14:textId="193A25B3" w:rsidR="006E65B1" w:rsidRPr="006E65B1" w:rsidRDefault="00491109"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E65B1" w:rsidRPr="006E65B1">
        <w:rPr>
          <w:rFonts w:ascii="Times New Roman" w:hAnsi="Times New Roman" w:cs="Times New Roman"/>
          <w:noProof/>
          <w:sz w:val="24"/>
          <w:szCs w:val="24"/>
        </w:rPr>
        <w:t xml:space="preserve">Antrim A and Barbeau S (2008) THE MANY USES OF GTFS DATA – OPENING THE DOOR TO TRANSIT AND MULTIMODAL APPLICATIONS Aaron. </w:t>
      </w:r>
      <w:r w:rsidR="006E65B1" w:rsidRPr="006E65B1">
        <w:rPr>
          <w:rFonts w:ascii="Times New Roman" w:hAnsi="Times New Roman" w:cs="Times New Roman"/>
          <w:i/>
          <w:iCs/>
          <w:noProof/>
          <w:sz w:val="24"/>
          <w:szCs w:val="24"/>
        </w:rPr>
        <w:t>Locationaware.Usf.Edu</w:t>
      </w:r>
      <w:r w:rsidR="006E65B1" w:rsidRPr="006E65B1">
        <w:rPr>
          <w:rFonts w:ascii="Times New Roman" w:hAnsi="Times New Roman" w:cs="Times New Roman"/>
          <w:noProof/>
          <w:sz w:val="24"/>
          <w:szCs w:val="24"/>
        </w:rPr>
        <w:t xml:space="preserve"> 4.</w:t>
      </w:r>
    </w:p>
    <w:p w14:paraId="0E0A140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6E65B1">
        <w:rPr>
          <w:rFonts w:ascii="Times New Roman" w:hAnsi="Times New Roman" w:cs="Times New Roman"/>
          <w:i/>
          <w:iCs/>
          <w:noProof/>
          <w:sz w:val="24"/>
          <w:szCs w:val="24"/>
        </w:rPr>
        <w:t>GIS: Proceedings of the ACM International Symposium on Advances in Geographic Information Systems</w:t>
      </w:r>
      <w:r w:rsidRPr="006E65B1">
        <w:rPr>
          <w:rFonts w:ascii="Times New Roman" w:hAnsi="Times New Roman" w:cs="Times New Roman"/>
          <w:noProof/>
          <w:sz w:val="24"/>
          <w:szCs w:val="24"/>
        </w:rPr>
        <w:t>, 2012, pp. 17–23. ACM.</w:t>
      </w:r>
    </w:p>
    <w:p w14:paraId="33AEADA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Bovy PH and Stern E (2012) </w:t>
      </w:r>
      <w:r w:rsidRPr="006E65B1">
        <w:rPr>
          <w:rFonts w:ascii="Times New Roman" w:hAnsi="Times New Roman" w:cs="Times New Roman"/>
          <w:i/>
          <w:iCs/>
          <w:noProof/>
          <w:sz w:val="24"/>
          <w:szCs w:val="24"/>
        </w:rPr>
        <w:t>Route Choice: Wayfinding in Transport Networks: Wayfinding in Transport Networks</w:t>
      </w:r>
      <w:r w:rsidRPr="006E65B1">
        <w:rPr>
          <w:rFonts w:ascii="Times New Roman" w:hAnsi="Times New Roman" w:cs="Times New Roman"/>
          <w:noProof/>
          <w:sz w:val="24"/>
          <w:szCs w:val="24"/>
        </w:rPr>
        <w:t>. Springer Science &amp; Business Media.</w:t>
      </w:r>
    </w:p>
    <w:p w14:paraId="4F47BA9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Ceder A (2016)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CRC press.</w:t>
      </w:r>
    </w:p>
    <w:p w14:paraId="0DCE79D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Chen M, Mao S and Liu Y (2014) Big data: A survey. </w:t>
      </w:r>
      <w:r w:rsidRPr="006E65B1">
        <w:rPr>
          <w:rFonts w:ascii="Times New Roman" w:hAnsi="Times New Roman" w:cs="Times New Roman"/>
          <w:i/>
          <w:iCs/>
          <w:noProof/>
          <w:sz w:val="24"/>
          <w:szCs w:val="24"/>
        </w:rPr>
        <w:t>Mobile networks and applications</w:t>
      </w:r>
      <w:r w:rsidRPr="006E65B1">
        <w:rPr>
          <w:rFonts w:ascii="Times New Roman" w:hAnsi="Times New Roman" w:cs="Times New Roman"/>
          <w:noProof/>
          <w:sz w:val="24"/>
          <w:szCs w:val="24"/>
        </w:rPr>
        <w:t xml:space="preserve"> 19(2). Springer: 171–209.</w:t>
      </w:r>
    </w:p>
    <w:p w14:paraId="4525FDE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Chu X (2010) </w:t>
      </w:r>
      <w:r w:rsidRPr="006E65B1">
        <w:rPr>
          <w:rFonts w:ascii="Times New Roman" w:hAnsi="Times New Roman" w:cs="Times New Roman"/>
          <w:i/>
          <w:iCs/>
          <w:noProof/>
          <w:sz w:val="24"/>
          <w:szCs w:val="24"/>
        </w:rPr>
        <w:t>A Guidebook for Using Automatic Passenger Counter Data for National Transit Database ( NTD ) Reporting</w:t>
      </w:r>
      <w:r w:rsidRPr="006E65B1">
        <w:rPr>
          <w:rFonts w:ascii="Times New Roman" w:hAnsi="Times New Roman" w:cs="Times New Roman"/>
          <w:noProof/>
          <w:sz w:val="24"/>
          <w:szCs w:val="24"/>
        </w:rPr>
        <w:t>. National Center for Transit Research (US).</w:t>
      </w:r>
    </w:p>
    <w:p w14:paraId="5D8A995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CTPS CTPS (1997) </w:t>
      </w:r>
      <w:r w:rsidRPr="006E65B1">
        <w:rPr>
          <w:rFonts w:ascii="Times New Roman" w:hAnsi="Times New Roman" w:cs="Times New Roman"/>
          <w:i/>
          <w:iCs/>
          <w:noProof/>
          <w:sz w:val="24"/>
          <w:szCs w:val="24"/>
        </w:rPr>
        <w:t>Transfer Penalties in Urban Mode Choice Modeling. Travel Model Improvement Program</w:t>
      </w:r>
      <w:r w:rsidRPr="006E65B1">
        <w:rPr>
          <w:rFonts w:ascii="Times New Roman" w:hAnsi="Times New Roman" w:cs="Times New Roman"/>
          <w:noProof/>
          <w:sz w:val="24"/>
          <w:szCs w:val="24"/>
        </w:rPr>
        <w:t>. US Dept. of Transportation.</w:t>
      </w:r>
    </w:p>
    <w:p w14:paraId="29290282"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 xml:space="preserve">Dessouky M, Hall R, Nowroozi A, et al. (1999) Bus dispatching at timed transfer transit stations using bus tracking technology.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7(4). Elsevier: 187–208.</w:t>
      </w:r>
    </w:p>
    <w:p w14:paraId="25520AA6"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576F387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(2018) Trip Updates. Available at: https://developers.google.com/transit/gtfs-realtime/guides/trip-updates (accessed 8 April 2019).</w:t>
      </w:r>
    </w:p>
    <w:p w14:paraId="60D686A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1872(1872). Transportation Research Board of the National Academies: 10–18. DOI: 10.3141/1872-02.</w:t>
      </w:r>
    </w:p>
    <w:p w14:paraId="20F952F9"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6E65B1">
        <w:rPr>
          <w:rFonts w:ascii="Times New Roman" w:hAnsi="Times New Roman" w:cs="Times New Roman"/>
          <w:i/>
          <w:iCs/>
          <w:noProof/>
          <w:sz w:val="24"/>
          <w:szCs w:val="24"/>
        </w:rPr>
        <w:t>Transportation Research Part A: Policy and Practice</w:t>
      </w:r>
      <w:r w:rsidRPr="006E65B1">
        <w:rPr>
          <w:rFonts w:ascii="Times New Roman" w:hAnsi="Times New Roman" w:cs="Times New Roman"/>
          <w:noProof/>
          <w:sz w:val="24"/>
          <w:szCs w:val="24"/>
        </w:rPr>
        <w:t xml:space="preserve"> 45(2). Pergamon: 91–104.</w:t>
      </w:r>
    </w:p>
    <w:p w14:paraId="17F0CFCF"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Hadas Y and Ranjitkar P (2012) Modeling public-transit connectivity with spatial quality-of-transfer measurements. </w:t>
      </w:r>
      <w:r w:rsidRPr="006E65B1">
        <w:rPr>
          <w:rFonts w:ascii="Times New Roman" w:hAnsi="Times New Roman" w:cs="Times New Roman"/>
          <w:i/>
          <w:iCs/>
          <w:noProof/>
          <w:sz w:val="24"/>
          <w:szCs w:val="24"/>
        </w:rPr>
        <w:t>Journal of Transport Geography</w:t>
      </w:r>
      <w:r w:rsidRPr="006E65B1">
        <w:rPr>
          <w:rFonts w:ascii="Times New Roman" w:hAnsi="Times New Roman" w:cs="Times New Roman"/>
          <w:noProof/>
          <w:sz w:val="24"/>
          <w:szCs w:val="24"/>
        </w:rPr>
        <w:t xml:space="preserve"> 22. Elsevier: 137–147. DOI: 10.1016/j.jtrangeo.2011.12.003.</w:t>
      </w:r>
    </w:p>
    <w:p w14:paraId="0C60F84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Hilbert M (2016) Big Data for Development: A Review of Promises and Challenges. </w:t>
      </w:r>
      <w:r w:rsidRPr="006E65B1">
        <w:rPr>
          <w:rFonts w:ascii="Times New Roman" w:hAnsi="Times New Roman" w:cs="Times New Roman"/>
          <w:i/>
          <w:iCs/>
          <w:noProof/>
          <w:sz w:val="24"/>
          <w:szCs w:val="24"/>
        </w:rPr>
        <w:t>Development Policy Review</w:t>
      </w:r>
      <w:r w:rsidRPr="006E65B1">
        <w:rPr>
          <w:rFonts w:ascii="Times New Roman" w:hAnsi="Times New Roman" w:cs="Times New Roman"/>
          <w:noProof/>
          <w:sz w:val="24"/>
          <w:szCs w:val="24"/>
        </w:rPr>
        <w:t xml:space="preserve"> 34(1). Wiley Online Library: 135–174.</w:t>
      </w:r>
    </w:p>
    <w:p w14:paraId="7F2107C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6E65B1">
        <w:rPr>
          <w:rFonts w:ascii="Times New Roman" w:hAnsi="Times New Roman" w:cs="Times New Roman"/>
          <w:i/>
          <w:iCs/>
          <w:noProof/>
          <w:sz w:val="24"/>
          <w:szCs w:val="24"/>
        </w:rPr>
        <w:t>Transport Reviews</w:t>
      </w:r>
      <w:r w:rsidRPr="006E65B1">
        <w:rPr>
          <w:rFonts w:ascii="Times New Roman" w:hAnsi="Times New Roman" w:cs="Times New Roman"/>
          <w:noProof/>
          <w:sz w:val="24"/>
          <w:szCs w:val="24"/>
        </w:rPr>
        <w:t xml:space="preserve"> 29(6). Taylor &amp; Francis: 777–800. DOI: 10.1080/01441640902811304.</w:t>
      </w:r>
    </w:p>
    <w:p w14:paraId="3134CE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Jang W (2010) Travel time and transfer analysis using transit smart card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(2144). Transportation Research Board of the National Academies: 142–149.</w:t>
      </w:r>
    </w:p>
    <w:p w14:paraId="51DCA01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Knoppers P and Muller T (1995) Optimized transfer opportunities in public transport. </w:t>
      </w:r>
      <w:r w:rsidRPr="006E65B1">
        <w:rPr>
          <w:rFonts w:ascii="Times New Roman" w:hAnsi="Times New Roman" w:cs="Times New Roman"/>
          <w:i/>
          <w:iCs/>
          <w:noProof/>
          <w:sz w:val="24"/>
          <w:szCs w:val="24"/>
        </w:rPr>
        <w:t>Transportation Science</w:t>
      </w:r>
      <w:r w:rsidRPr="006E65B1">
        <w:rPr>
          <w:rFonts w:ascii="Times New Roman" w:hAnsi="Times New Roman" w:cs="Times New Roman"/>
          <w:noProof/>
          <w:sz w:val="24"/>
          <w:szCs w:val="24"/>
        </w:rPr>
        <w:t xml:space="preserve"> 29(1). INFORMS: 101–105.</w:t>
      </w:r>
    </w:p>
    <w:p w14:paraId="17F787C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6E65B1">
        <w:rPr>
          <w:rFonts w:ascii="Times New Roman" w:hAnsi="Times New Roman" w:cs="Times New Roman"/>
          <w:i/>
          <w:iCs/>
          <w:noProof/>
          <w:sz w:val="24"/>
          <w:szCs w:val="24"/>
        </w:rPr>
        <w:t>Computers, Environment and Urban Systems</w:t>
      </w:r>
      <w:r w:rsidRPr="006E65B1">
        <w:rPr>
          <w:rFonts w:ascii="Times New Roman" w:hAnsi="Times New Roman" w:cs="Times New Roman"/>
          <w:noProof/>
          <w:sz w:val="24"/>
          <w:szCs w:val="24"/>
        </w:rPr>
        <w:t xml:space="preserve"> 67. Elsevier: 41–54.</w:t>
      </w:r>
    </w:p>
    <w:p w14:paraId="0E2182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 JQ, Song M, Li M, et al. (2009) Planning for bus rapid transit in single dedicated bus lane.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(2111). Transportation Research Board of the National Academies: 76–82.</w:t>
      </w:r>
    </w:p>
    <w:p w14:paraId="3692064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Liu R, Pendyala RM and Polzin S (1997) Assessment of intermodal transfer penalties using stated preference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(1607). Transportation Research Board of the National Academies: 74–80.</w:t>
      </w:r>
    </w:p>
    <w:p w14:paraId="1B08380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Miller HJ and Goodchild MF (2015) Data-driven geography. </w:t>
      </w:r>
      <w:r w:rsidRPr="006E65B1">
        <w:rPr>
          <w:rFonts w:ascii="Times New Roman" w:hAnsi="Times New Roman" w:cs="Times New Roman"/>
          <w:i/>
          <w:iCs/>
          <w:noProof/>
          <w:sz w:val="24"/>
          <w:szCs w:val="24"/>
        </w:rPr>
        <w:t>GeoJournal</w:t>
      </w:r>
      <w:r w:rsidRPr="006E65B1">
        <w:rPr>
          <w:rFonts w:ascii="Times New Roman" w:hAnsi="Times New Roman" w:cs="Times New Roman"/>
          <w:noProof/>
          <w:sz w:val="24"/>
          <w:szCs w:val="24"/>
        </w:rPr>
        <w:t xml:space="preserve"> 80(4). Springer: 449–461.</w:t>
      </w:r>
    </w:p>
    <w:p w14:paraId="255B052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Nesheli MM and Ceder A (2015) Improved reliability of public transportation using real</w:t>
      </w:r>
      <w:bookmarkStart w:id="15" w:name="_GoBack"/>
      <w:bookmarkEnd w:id="15"/>
      <w:r w:rsidRPr="006E65B1">
        <w:rPr>
          <w:rFonts w:ascii="Times New Roman" w:hAnsi="Times New Roman" w:cs="Times New Roman"/>
          <w:noProof/>
          <w:sz w:val="24"/>
          <w:szCs w:val="24"/>
        </w:rPr>
        <w:t xml:space="preserve">-time transfer synchronization.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60. Pergamon: 525–539.</w:t>
      </w:r>
    </w:p>
    <w:p w14:paraId="2FE2102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6E65B1">
        <w:rPr>
          <w:rFonts w:ascii="Times New Roman" w:hAnsi="Times New Roman" w:cs="Times New Roman"/>
          <w:i/>
          <w:iCs/>
          <w:noProof/>
          <w:sz w:val="24"/>
          <w:szCs w:val="24"/>
        </w:rPr>
        <w:t>Transportation Research Procedia</w:t>
      </w:r>
      <w:r w:rsidRPr="006E65B1">
        <w:rPr>
          <w:rFonts w:ascii="Times New Roman" w:hAnsi="Times New Roman" w:cs="Times New Roman"/>
          <w:noProof/>
          <w:sz w:val="24"/>
          <w:szCs w:val="24"/>
        </w:rPr>
        <w:t xml:space="preserve"> 6. Elsevier: 391–401.</w:t>
      </w:r>
    </w:p>
    <w:p w14:paraId="0E9341C0"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Ren F, et al. (2007) Evaluation of passenger transfer efficiency of an urban public transportation terminal. In: </w:t>
      </w:r>
      <w:r w:rsidRPr="006E65B1">
        <w:rPr>
          <w:rFonts w:ascii="Times New Roman" w:hAnsi="Times New Roman" w:cs="Times New Roman"/>
          <w:i/>
          <w:iCs/>
          <w:noProof/>
          <w:sz w:val="24"/>
          <w:szCs w:val="24"/>
        </w:rPr>
        <w:t>IEEE Conference on Intelligent Transportation Systems, Proceedings, ITSC</w:t>
      </w:r>
      <w:r w:rsidRPr="006E65B1">
        <w:rPr>
          <w:rFonts w:ascii="Times New Roman" w:hAnsi="Times New Roman" w:cs="Times New Roman"/>
          <w:noProof/>
          <w:sz w:val="24"/>
          <w:szCs w:val="24"/>
        </w:rPr>
        <w:t>, 2007, pp. 436–441. IEEE.</w:t>
      </w:r>
    </w:p>
    <w:p w14:paraId="424E2D7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6E65B1">
        <w:rPr>
          <w:rFonts w:ascii="Times New Roman" w:hAnsi="Times New Roman" w:cs="Times New Roman"/>
          <w:i/>
          <w:iCs/>
          <w:noProof/>
          <w:sz w:val="24"/>
          <w:szCs w:val="24"/>
        </w:rPr>
        <w:t>Journal of Urban Planning and Development</w:t>
      </w:r>
      <w:r w:rsidRPr="006E65B1">
        <w:rPr>
          <w:rFonts w:ascii="Times New Roman" w:hAnsi="Times New Roman" w:cs="Times New Roman"/>
          <w:noProof/>
          <w:sz w:val="24"/>
          <w:szCs w:val="24"/>
        </w:rPr>
        <w:t xml:space="preserve"> 136(4). American Society of Civil Engineers: 314–319.</w:t>
      </w:r>
    </w:p>
    <w:p w14:paraId="4C3298A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4C170C8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Walker J (2012)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Island Press.</w:t>
      </w:r>
    </w:p>
    <w:p w14:paraId="2B48199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Wardman M (2001) A review of British evidence on time and service quality valuations. </w:t>
      </w:r>
      <w:r w:rsidRPr="006E65B1">
        <w:rPr>
          <w:rFonts w:ascii="Times New Roman" w:hAnsi="Times New Roman" w:cs="Times New Roman"/>
          <w:i/>
          <w:iCs/>
          <w:noProof/>
          <w:sz w:val="24"/>
          <w:szCs w:val="24"/>
        </w:rPr>
        <w:t>Transportation Research Part E: Logistics and Transportation Review</w:t>
      </w:r>
      <w:r w:rsidRPr="006E65B1">
        <w:rPr>
          <w:rFonts w:ascii="Times New Roman" w:hAnsi="Times New Roman" w:cs="Times New Roman"/>
          <w:noProof/>
          <w:sz w:val="24"/>
          <w:szCs w:val="24"/>
        </w:rPr>
        <w:t xml:space="preserve"> 37(2–3). Institute of Transport Studies, University of Leeds: 107–128.</w:t>
      </w:r>
    </w:p>
    <w:p w14:paraId="080A967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rPr>
      </w:pPr>
      <w:r w:rsidRPr="006E65B1">
        <w:rPr>
          <w:rFonts w:ascii="Times New Roman" w:hAnsi="Times New Roman" w:cs="Times New Roman"/>
          <w:noProof/>
          <w:sz w:val="24"/>
          <w:szCs w:val="24"/>
        </w:rPr>
        <w:t xml:space="preserve">Wardman M, Hine J and Stradling S (2001) Interchange and Travel Choice Volume 1. </w:t>
      </w:r>
      <w:r w:rsidRPr="006E65B1">
        <w:rPr>
          <w:rFonts w:ascii="Times New Roman" w:hAnsi="Times New Roman" w:cs="Times New Roman"/>
          <w:i/>
          <w:iCs/>
          <w:noProof/>
          <w:sz w:val="24"/>
          <w:szCs w:val="24"/>
        </w:rPr>
        <w:t>Edinburgh: Scottish Executive Central Research Unit</w:t>
      </w:r>
      <w:r w:rsidRPr="006E65B1">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ller, Harvey J." w:date="2019-10-16T13:42:00Z" w:initials="MHJ">
    <w:p w14:paraId="72530454" w14:textId="427FC756" w:rsidR="00552E7D" w:rsidRDefault="00552E7D">
      <w:pPr>
        <w:pStyle w:val="CommentText"/>
      </w:pPr>
      <w:r>
        <w:rPr>
          <w:rStyle w:val="CommentReference"/>
        </w:rPr>
        <w:annotationRef/>
      </w:r>
      <w:r>
        <w:t xml:space="preserve">Correct?  It was “synchronizing” before </w:t>
      </w:r>
    </w:p>
  </w:comment>
  <w:comment w:id="1" w:author="Miller, Harvey J." w:date="2019-10-16T13:44:00Z" w:initials="MHJ">
    <w:p w14:paraId="30E90483" w14:textId="41E3D583" w:rsidR="00552E7D" w:rsidRDefault="00552E7D">
      <w:pPr>
        <w:pStyle w:val="CommentText"/>
      </w:pPr>
      <w:r>
        <w:rPr>
          <w:rStyle w:val="CommentReference"/>
        </w:rPr>
        <w:annotationRef/>
      </w:r>
      <w:r>
        <w:t>You should label the axes “time” (y-axis) and “space” (x-axis)  Also you can remove the numbers from the y-axis: they are irrelevant</w:t>
      </w:r>
    </w:p>
  </w:comment>
  <w:comment w:id="5" w:author="Miller, Harvey J." w:date="2019-10-16T14:06:00Z" w:initials="MHJ">
    <w:p w14:paraId="21A68A78" w14:textId="77777777" w:rsidR="00552E7D" w:rsidRDefault="00552E7D" w:rsidP="00A636AC">
      <w:pPr>
        <w:pStyle w:val="CommentText"/>
      </w:pPr>
      <w:r>
        <w:rPr>
          <w:rStyle w:val="CommentReference"/>
        </w:rPr>
        <w:annotationRef/>
      </w:r>
      <w:r>
        <w:t>Move to TR and ATP sections</w:t>
      </w:r>
    </w:p>
  </w:comment>
  <w:comment w:id="14" w:author="Miller, Harvey J." w:date="2019-10-16T15:40:00Z" w:initials="MHJ">
    <w:p w14:paraId="3E54B1B7" w14:textId="6538B823" w:rsidR="00552E7D" w:rsidRDefault="00552E7D"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D946C1" w14:textId="77777777" w:rsidR="006003A8" w:rsidRDefault="006003A8" w:rsidP="00491109">
      <w:pPr>
        <w:spacing w:after="0" w:line="240" w:lineRule="auto"/>
      </w:pPr>
      <w:r>
        <w:separator/>
      </w:r>
    </w:p>
  </w:endnote>
  <w:endnote w:type="continuationSeparator" w:id="0">
    <w:p w14:paraId="4BE4C92F" w14:textId="77777777" w:rsidR="006003A8" w:rsidRDefault="006003A8"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81D2C" w14:textId="77777777" w:rsidR="006003A8" w:rsidRDefault="006003A8" w:rsidP="00491109">
      <w:pPr>
        <w:spacing w:after="0" w:line="240" w:lineRule="auto"/>
      </w:pPr>
      <w:r>
        <w:separator/>
      </w:r>
    </w:p>
  </w:footnote>
  <w:footnote w:type="continuationSeparator" w:id="0">
    <w:p w14:paraId="071B7B67" w14:textId="77777777" w:rsidR="006003A8" w:rsidRDefault="006003A8" w:rsidP="00491109">
      <w:pPr>
        <w:spacing w:after="0" w:line="240" w:lineRule="auto"/>
      </w:pPr>
      <w:r>
        <w:continuationSeparator/>
      </w:r>
    </w:p>
  </w:footnote>
  <w:footnote w:id="1">
    <w:p w14:paraId="0828D813" w14:textId="37A4A132" w:rsidR="00552E7D" w:rsidRDefault="00552E7D"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552E7D" w:rsidRDefault="00552E7D"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4CD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2E7D"/>
    <w:rsid w:val="005566A1"/>
    <w:rsid w:val="005602B7"/>
    <w:rsid w:val="005612B6"/>
    <w:rsid w:val="005679EF"/>
    <w:rsid w:val="00573633"/>
    <w:rsid w:val="00576480"/>
    <w:rsid w:val="00577887"/>
    <w:rsid w:val="00577B40"/>
    <w:rsid w:val="00582E1E"/>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03A8"/>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D2EB3"/>
    <w:rsid w:val="006E55F8"/>
    <w:rsid w:val="006E65B1"/>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36B3E"/>
    <w:rsid w:val="00841013"/>
    <w:rsid w:val="00844950"/>
    <w:rsid w:val="00853C54"/>
    <w:rsid w:val="008570B5"/>
    <w:rsid w:val="00862190"/>
    <w:rsid w:val="00866338"/>
    <w:rsid w:val="00880852"/>
    <w:rsid w:val="0088112B"/>
    <w:rsid w:val="00894FD7"/>
    <w:rsid w:val="00897FCC"/>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46DE"/>
    <w:rsid w:val="00996B70"/>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1D9A"/>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3471E"/>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D1D29"/>
    <w:rsid w:val="00EE2805"/>
    <w:rsid w:val="00EE2B29"/>
    <w:rsid w:val="00EE312A"/>
    <w:rsid w:val="00EE3244"/>
    <w:rsid w:val="00EE36BF"/>
    <w:rsid w:val="00EE48E5"/>
    <w:rsid w:val="00EF2A3C"/>
    <w:rsid w:val="00EF3679"/>
    <w:rsid w:val="00F00249"/>
    <w:rsid w:val="00F06FB4"/>
    <w:rsid w:val="00F07863"/>
    <w:rsid w:val="00F145D6"/>
    <w:rsid w:val="00F15B11"/>
    <w:rsid w:val="00F15D4C"/>
    <w:rsid w:val="00F17C4A"/>
    <w:rsid w:val="00F2122B"/>
    <w:rsid w:val="00F23C3E"/>
    <w:rsid w:val="00F24C26"/>
    <w:rsid w:val="00F24CB2"/>
    <w:rsid w:val="00F32C97"/>
    <w:rsid w:val="00F34688"/>
    <w:rsid w:val="00F3481E"/>
    <w:rsid w:val="00F35940"/>
    <w:rsid w:val="00F37AE6"/>
    <w:rsid w:val="00F41894"/>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92D2-8D8F-4A63-B05C-D5204D6A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20</Pages>
  <Words>19928</Words>
  <Characters>113593</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23</cp:revision>
  <cp:lastPrinted>2019-03-29T20:31:00Z</cp:lastPrinted>
  <dcterms:created xsi:type="dcterms:W3CDTF">2019-10-17T02:11:00Z</dcterms:created>
  <dcterms:modified xsi:type="dcterms:W3CDTF">2019-10-22T14:42:00Z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