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Segoe UI" w:hAnsi="Segoe UI" w:eastAsia="微软雅黑"/>
          <w:b/>
          <w:color w:val="1F3A5F"/>
          <w:sz w:val="40"/>
        </w:rPr>
        <w:t>研究复盘助手 · 引用文献与来源清单</w:t>
      </w:r>
    </w:p>
    <w:p>
      <w:pPr>
        <w:spacing w:after="40" w:line="312" w:lineRule="auto"/>
        <w:jc w:val="center"/>
      </w:pPr>
      <w:r>
        <w:rPr>
          <w:rFonts w:ascii="Segoe UI" w:hAnsi="Segoe UI" w:eastAsia="微软雅黑"/>
          <w:b w:val="0"/>
          <w:color w:val="5F5E5A"/>
          <w:sz w:val="22"/>
        </w:rPr>
        <w:t>作品：研究复盘助手（失败经验累积及孵化助手）</w:t>
      </w:r>
    </w:p>
    <w:p>
      <w:pPr>
        <w:spacing w:after="280" w:line="312" w:lineRule="auto"/>
        <w:jc w:val="center"/>
      </w:pPr>
      <w:r>
        <w:rPr>
          <w:rFonts w:ascii="Segoe UI" w:hAnsi="Segoe UI" w:eastAsia="微软雅黑"/>
          <w:b w:val="0"/>
          <w:color w:val="5F5E5A"/>
          <w:sz w:val="22"/>
        </w:rPr>
        <w:t>检索与核实日期：2026-09-19　｜　清单版本：v1.0</w:t>
      </w:r>
    </w:p>
    <w:p>
      <w:pPr>
        <w:pStyle w:val="Heading1"/>
      </w:pPr>
      <w:r>
        <w:t>零、这份清单是做什么的</w:t>
      </w:r>
    </w:p>
    <w:p>
      <w:pPr>
        <w:spacing w:after="100" w:line="312" w:lineRule="auto"/>
      </w:pPr>
      <w:r>
        <w:rPr>
          <w:rFonts w:ascii="Segoe UI" w:hAnsi="Segoe UI" w:eastAsia="微软雅黑"/>
          <w:b w:val="0"/>
          <w:sz w:val="21"/>
        </w:rPr>
        <w:t>本作品在方案、PPT 与演示视频中引用了外部来源。本清单逐条给出这些来源的**完整条目、可访问链接、检索日期、核实状态**，以及**它被用于支撑我们的哪一处判断**，供评委与后继者逐条复核。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第一节列出**已核实**的来源（本轮检索命中原始页面），可以在作品中使用。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第四节列出**未核实**的条目，它们只是待办线索，**不得出现在 PPT、视频或方案里**。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本清单的存在本身也是回答「是否学术不端」的直接材料：哪句话来自哪一条来源，一目了然。</w:t>
      </w:r>
    </w:p>
    <w:p>
      <w:pPr>
        <w:pStyle w:val="Heading1"/>
      </w:pPr>
      <w:r>
        <w:t>一、已核实引用</w:t>
      </w:r>
    </w:p>
    <w:p>
      <w:pPr>
        <w:spacing w:after="100" w:line="312" w:lineRule="auto"/>
      </w:pPr>
      <w:r>
        <w:rPr>
          <w:rFonts w:ascii="Segoe UI" w:hAnsi="Segoe UI" w:eastAsia="微软雅黑"/>
          <w:b w:val="0"/>
          <w:sz w:val="20"/>
        </w:rPr>
        <w:t>以下 22 条均在本轮检索中命中原始页面（机构官网、期刊页或可访问的存档页）。「支撑我们的哪一处」指该来源在作品中的具体用途。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567"/>
            <w:shd w:val="clear" w:color="auto" w:fill="1F3A5F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3061"/>
            <w:shd w:val="clear" w:color="auto" w:fill="1F3A5F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完整条目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链接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支撑我们的哪一处</w:t>
            </w:r>
          </w:p>
        </w:tc>
        <w:tc>
          <w:tcPr>
            <w:tcW w:type="dxa" w:w="2494"/>
            <w:shd w:val="clear" w:color="auto" w:fill="1F3A5F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关键原文 / 数字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University of Illinois Chicago, Graduate College. Illuminating ‘the ugly side of science’: fresh incentives for reporting negative results.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9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问题论证（PPT 第 2 页、视频开场）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Rosenthal 1979 文件抽屉；1990–2007 阳性结论 +22%，2007 年 85% 为阳性；2022 法国调查 81% / 12.5%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R2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Editage Insights. What you can do with negative results.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0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生态综述：既有发表渠道盘点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JNRBM、JASNH、PLOS Missing Pieces、microPublication、Wellcome Open Research、F1000Research、protocols.io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R3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Negative equity – the value of reporting negative results. PMC11381924.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1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支撑「缺失信息」字段的必要性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ARRIVE 报告指南常被忽略；公共存档关键元数据缺失、同一特征术语不一致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R4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华东师范大学新闻。「失败」的科研去哪儿了？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2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中文语境论证与引语来源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波普尔：「证伪常常被视为一位科学家的失败」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R5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SUNY Upstate Library Blog. Publish Negative Results – Really? Yes, really.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3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PLOS Missing Pieces 合集的定位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「没有负结果、无效结果与不确定结果的发表，研究记录就是不完整的」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R6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Aamodt &amp; Plaza 的 CBR 四阶段循环（经 ScienceDirect 文章转引）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4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我们整套机制的理论框架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Retrieve → Reuse → Revise → Retain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R7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Case-Based Reasoning 入门（Northwestern 课程讲义）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5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「失败也留档」的原则出处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「如果改后的方案失败，系统也会把它存下来，并注明下次要注意什么」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R8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Wijekoon et al. Empowering Explainable Artificial Intelligence Through Case-Based Reasoning（UCL 存档）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6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档案表示形式（结构化 + 文本并存）的依据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案例表示三类：特征向量 / 结构化 / 文本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R9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Automatic Evaluation of Attribution by Large Language Models（AttrScore）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7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三态判定与「禁止无依据归因」的学术对应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三分类 Attributable / Extrapolatory / Contradictory；生成式搜索仅约 52% 陈述被完全支持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R10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RAG 评测口径综述（含 FActScore、ALCE、RAGTruth、NoMIRACL）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8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引用正确率与拒答指标的实现口径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FActScore 原子事实；ALCE 的 citation precision / recall；拒答需覆盖不可回答问题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R11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Survey on Factuality in Large Language Models（arXiv 2310.07521）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19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证据归属评分（AIS / Auto-AIS）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句子级归属评分；上下文对判定有影响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R12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NHMRC. Assessing certainty of evidence using GRADE.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0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条件维度与确定性分级的来源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PICO 结构化；五个降级维度含 indirectness（间接性）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R13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GRADE Book. Principles for assessing the certainty of interventions.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1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confidence 字段的四档定义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high / moderate / low / very low 四档；按证据体而非单条研究评级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R14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GRADE: Assessing the quality of evidence in environmental and occupational health（UCSF 存档）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2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档案详情页版式参考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GRADE Evidence Profile / Summary of Findings 表结构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R15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Cochrane 摘要。How to rate the certainty of prediction modelling studies in a systematic review?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3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条件清单与偏倚检查的补充来源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CHARMS 清单与 PICO 结合用于预测模型研究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R16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Kuhn et al. Nanopublication-based semantic publishing and reviewing（PeerJ CS）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4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档案三段式与「撤回不删除」的依据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assertion / provenance / publicationInfo；Trusty URI 内容寻址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R17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Semantic units: organizing knowledge graphs into semantically meaningful units（PMC11131308）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5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evidence_refs 的实现参考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claim 级可引用、可归属，需带证据片段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R18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Survey 转引 ORKG 与 CS-KG（arXiv 2402.08565）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6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对比矩阵的既有范式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ORKG 约 25,000 篇、1,500 组对比；CS-KG 抽取 2,400 万条方法/任务/材料/指标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R19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Kapoor &amp; Narayanan. Leakage and the reproducibility crisis in machine-learning-based science. Patterns, 2023, 4(9):100804.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7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演示领域的复现性背书与立项检查扩展项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17 个领域 294 篇受影响；8 类数据泄漏；提出 model info sheets；DOI 10.1016/j.patter.2023.100804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R20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KG-First, LLM-Fallback: A Hybrid Microservice for Grounded Skill Search and Explanation（arXiv 2605.01582）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8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检索融合与「模板优于自由生成」的实测依据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nDCG@5：BM25 0.474 → 稠密 0.875 → 融合 0.948；加重排降到 0.814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R21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Reducing Hallucinations with Grounding（工程实践综述）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29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拒答指标与冲突处理原则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grounding 五类局限含「引用误用」；评测须含不可回答问题；abstention 单独计量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R22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Knowledge Pixels. Nanopublications: Small Package, Big FAIR Impact（Tobias Kuhn）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/>
            <w:hyperlink r:id="rId30">
              <w:r>
                <w:rPr>
                  <w:rFonts w:ascii="Segoe UI" w:eastAsia="微软雅黑"/>
                  <w:sz w:val="15"/>
                  <w:color w:val="1F3A5F"/>
                  <w:u w:val="single"/>
                </w:rPr>
                <w:t>链接</w:t>
              </w:r>
            </w:hyperlink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引用编号与版本化思路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6"/>
              </w:rPr>
              <w:t>「需要时撤回，但从不删除」（retracted when needed, never deleted）</w:t>
            </w:r>
          </w:p>
        </w:tc>
      </w:tr>
    </w:tbl>
    <w:p>
      <w:pPr>
        <w:spacing w:after="40"/>
      </w:pPr>
    </w:p>
    <w:p>
      <w:pPr>
        <w:pStyle w:val="Heading1"/>
      </w:pPr>
      <w:r>
        <w:t>二、检索与核实方法（可复核性说明）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工具：搜索引擎作为**发现入口**；核实以**命中原始页面**为准，机构官网与期刊页优先于二手转载。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本次未使用浏览器自动化，未访问任何需要登录的内容。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检索日期统一为 2026-09-19；链接可能随时间失效，若失效请按「完整条目」在搜索引擎或存档库中重新定位。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已知局限：未检索中文数据库（知网、万方），未做引文追溯（反向追引用）。因此本清单**不是穷尽性文献综述**，只包含直接支撑我们判断的来源。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转引标注：R6、R18 系经他人页面转引（原始文献未直接访问），已在条目中写明「经…转引」。</w:t>
      </w:r>
    </w:p>
    <w:p>
      <w:pPr>
        <w:pStyle w:val="Heading1"/>
      </w:pPr>
      <w:r>
        <w:t>三、引用规范（我们在作品里怎么标）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正文给出一句话结论 + 编号，例如「…[R19]」；编号对应本清单第一节序号。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任何来源要进 PPT 或视频，必须先在第一节列出；只在第四节出现的条目一律不得使用。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转引必须标注「转引」并同时给出原始出处；不得把转引写成直接引用。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若某条链接失效且无法重新定位，应从作品引用中撤下，并在本清单标注状态为「已失效」。</w:t>
      </w:r>
    </w:p>
    <w:p>
      <w:pPr>
        <w:pStyle w:val="Heading1"/>
      </w:pPr>
      <w:r>
        <w:t>四、未核实来源（不得引用）</w:t>
      </w:r>
    </w:p>
    <w:p>
      <w:pPr>
        <w:spacing w:after="100" w:line="312" w:lineRule="auto"/>
      </w:pPr>
      <w:r>
        <w:rPr>
          <w:rFonts w:ascii="Segoe UI" w:hAnsi="Segoe UI" w:eastAsia="微软雅黑"/>
          <w:b w:val="0"/>
          <w:sz w:val="20"/>
        </w:rPr>
        <w:t>以下条目目前只有线索、没有核实到原始页面。保留在此是为了**提醒不要误用**，以及作为下一轮检索的待办。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628"/>
            <w:shd w:val="clear" w:color="auto" w:fill="1F3A5F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条目</w:t>
            </w:r>
          </w:p>
        </w:tc>
        <w:tc>
          <w:tcPr>
            <w:tcW w:type="dxa" w:w="3742"/>
            <w:shd w:val="clear" w:color="auto" w:fill="1F3A5F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本来想用它做什么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Chain-of-Verification（CoVe）原论文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三段式自检做法的原始出处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未检索核实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Reciprocal Rank Fusion（RRF）原论文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多路召回融合的原始出处（我们实际用加权和）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未检索核实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W3C PROV-O 规范页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溯源三要素（谁 / 何时 / 何法）的规范表述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未检索核实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HTML import maps 与原生 ES Module 加载规范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零构建前端方案的规范依据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未检索核实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storage 事件与 localStorage 配额规范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多标签页同步与写入失败的依据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未检索核实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NAS-Bench 系列的失败配置记录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「工业界失败经验库」类比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未检索核实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电子实验记录本（ELN）与隐性知识捕获研究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竞品与既有研究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未检索核实</w:t>
            </w:r>
          </w:p>
        </w:tc>
      </w:tr>
      <w:tr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NASA LLIS 等经验教训库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工业界先例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未检索核实</w:t>
            </w:r>
          </w:p>
        </w:tc>
      </w:tr>
    </w:tbl>
    <w:p>
      <w:pPr>
        <w:spacing w:after="40"/>
      </w:pPr>
    </w:p>
    <w:p>
      <w:pPr>
        <w:pStyle w:val="Heading1"/>
      </w:pPr>
      <w:r>
        <w:t>五、原文存档说明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本文件夹内的 `原文存档/` 用于存放可公开获取的原文副本，**仅供研究核对**，不随开源代码仓库分发。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仓库（`实现代码/`）内只保留引用清单的 Markdown 副本（`docs/references.md`）与工作笔记，**不含任何 PDF**——避免把出版方文件打进公开仓库带来的再分发问题。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若评委需要核对原文，可依据第一节链接直接访问原页面；必要时可现场展示本地存档。</w:t>
      </w:r>
    </w:p>
    <w:p>
      <w:pPr>
        <w:pStyle w:val="Heading1"/>
      </w:pPr>
      <w:r>
        <w:t>六、与仓库文档的关系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`实现代码/docs/references.md`：本清单的 Markdown 副本，随代码开源，便于逐行比对。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`实现代码/docs/related-work.md`：一页速览（只保留能直接写进 PPT 的内容）。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`实现代码/docs/research/report.md`：完整调研报告，含每条来源的借鉴点与用法。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sz w:val="21"/>
        </w:rPr>
        <w:t>`实现代码/docs/technical-notes.md`：技术层面可借鉴的做法与取舍。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12" w:lineRule="auto"/>
    </w:pPr>
    <w:rPr>
      <w:rFonts w:ascii="Segoe UI" w:hAnsi="Segoe UI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12" w:lineRule="auto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rad.uic.edu/news-stories/illuminating-the-ugly-side-of-science-fresh-incentives-for-reporting-negative-results/" TargetMode="External"/><Relationship Id="rId10" Type="http://schemas.openxmlformats.org/officeDocument/2006/relationships/hyperlink" Target="https://www.editage.com/insights/how-can-i-publish-negative-results" TargetMode="External"/><Relationship Id="rId11" Type="http://schemas.openxmlformats.org/officeDocument/2006/relationships/hyperlink" Target="https://pmc.ncbi.nlm.nih.gov/articles/PMC11381924/" TargetMode="External"/><Relationship Id="rId12" Type="http://schemas.openxmlformats.org/officeDocument/2006/relationships/hyperlink" Target="https://www.ecnu.edu.cn/info/1095/59649.htm" TargetMode="External"/><Relationship Id="rId13" Type="http://schemas.openxmlformats.org/officeDocument/2006/relationships/hyperlink" Target="https://blogs.upstate.edu/library/2015/03/19/publish-negative-results-really-yes-really/" TargetMode="External"/><Relationship Id="rId14" Type="http://schemas.openxmlformats.org/officeDocument/2006/relationships/hyperlink" Target="https://www.sciencedirect.com/science/article/abs/pii/S0957417422024794" TargetMode="External"/><Relationship Id="rId15" Type="http://schemas.openxmlformats.org/officeDocument/2006/relationships/hyperlink" Target="https://www.cs.northwestern.edu/courses/325/readings/cbr-intro.html" TargetMode="External"/><Relationship Id="rId16" Type="http://schemas.openxmlformats.org/officeDocument/2006/relationships/hyperlink" Target="https://discovery.ucl.ac.uk/id/eprint/10214905/7/Wijekoon_Empowering%20Explainable%20Artificial%20Intelligence%20Through%20Case-Based%20Reasoning_VoR.pdf" TargetMode="External"/><Relationship Id="rId17" Type="http://schemas.openxmlformats.org/officeDocument/2006/relationships/hyperlink" Target="https://lacuna.tiptreesystems.com/paper/automatic-evaluation-of-attribution-by-large-language-models/art_5bb9cd3d07124206a8edfd2773b635f6" TargetMode="External"/><Relationship Id="rId18" Type="http://schemas.openxmlformats.org/officeDocument/2006/relationships/hyperlink" Target="https://slavadubrov.github.io/blog/2026/05/10/rag-evaluation-metrics/" TargetMode="External"/><Relationship Id="rId19" Type="http://schemas.openxmlformats.org/officeDocument/2006/relationships/hyperlink" Target="https://arxiv.org/html/2310.07521v1" TargetMode="External"/><Relationship Id="rId20" Type="http://schemas.openxmlformats.org/officeDocument/2006/relationships/hyperlink" Target="https://www.nhmrc.gov.au/file/23340/download?token=WCPzDa7m" TargetMode="External"/><Relationship Id="rId21" Type="http://schemas.openxmlformats.org/officeDocument/2006/relationships/hyperlink" Target="https://book.gradepro.org/guideline/principles-for-assessing-the-certainty-of-interventions" TargetMode="External"/><Relationship Id="rId22" Type="http://schemas.openxmlformats.org/officeDocument/2006/relationships/hyperlink" Target="https://prhe.ucsf.edu/sites/g/files/tkssra341/f/GRADE-%20Assessing%20the%20Quality%20of%20Evidence.pdf" TargetMode="External"/><Relationship Id="rId23" Type="http://schemas.openxmlformats.org/officeDocument/2006/relationships/hyperlink" Target="https://abstracts.cochrane.org/2019-santiago/how-rate-certainty-prediction-modelling-studies-systematic-review" TargetMode="External"/><Relationship Id="rId24" Type="http://schemas.openxmlformats.org/officeDocument/2006/relationships/hyperlink" Target="https://peerj.com/articles/cs-1159" TargetMode="External"/><Relationship Id="rId25" Type="http://schemas.openxmlformats.org/officeDocument/2006/relationships/hyperlink" Target="https://www.ncbi.nlm.nih.gov/pmc/articles/pmc11131308/" TargetMode="External"/><Relationship Id="rId26" Type="http://schemas.openxmlformats.org/officeDocument/2006/relationships/hyperlink" Target="https://arxiv.org/pdf/2402.08565v2" TargetMode="External"/><Relationship Id="rId27" Type="http://schemas.openxmlformats.org/officeDocument/2006/relationships/hyperlink" Target="https://pubmed.ncbi.nlm.nih.gov/37720327/" TargetMode="External"/><Relationship Id="rId28" Type="http://schemas.openxmlformats.org/officeDocument/2006/relationships/hyperlink" Target="https://arxiv.org/html/2605.01582v1" TargetMode="External"/><Relationship Id="rId29" Type="http://schemas.openxmlformats.org/officeDocument/2006/relationships/hyperlink" Target="https://theaidatabaseblog.com/learn/reducing-hallucinations-with-grounding/" TargetMode="External"/><Relationship Id="rId30" Type="http://schemas.openxmlformats.org/officeDocument/2006/relationships/hyperlink" Target="https://knowledgepixels.com/slides/fairagro-nanopub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