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w:t>
      </w:r>
      <w:r w:rsidR="00F3190D" w:rsidRPr="009A3042">
        <w:rPr>
          <w:rStyle w:val="a4"/>
          <w:rFonts w:ascii="Arial Unicode MS" w:eastAsia="Arial Unicode MS" w:hAnsi="Arial Unicode MS" w:cs="Arial Unicode MS"/>
          <w:b w:val="0"/>
          <w:sz w:val="28"/>
          <w:szCs w:val="28"/>
        </w:rPr>
        <w:lastRenderedPageBreak/>
        <w:t>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F4880"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lastRenderedPageBreak/>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lastRenderedPageBreak/>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lastRenderedPageBreak/>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lastRenderedPageBreak/>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lastRenderedPageBreak/>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lastRenderedPageBreak/>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lastRenderedPageBreak/>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lastRenderedPageBreak/>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lastRenderedPageBreak/>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lastRenderedPageBreak/>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lastRenderedPageBreak/>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w:t>
      </w:r>
      <w:r w:rsidR="0043638E" w:rsidRPr="0043638E">
        <w:rPr>
          <w:rStyle w:val="a4"/>
          <w:rFonts w:ascii="Arial Unicode MS" w:eastAsia="Arial Unicode MS" w:hAnsi="Arial Unicode MS" w:cs="Arial Unicode MS"/>
          <w:b w:val="0"/>
          <w:sz w:val="28"/>
          <w:szCs w:val="28"/>
        </w:rPr>
        <w:lastRenderedPageBreak/>
        <w:t>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lastRenderedPageBreak/>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lastRenderedPageBreak/>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lastRenderedPageBreak/>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lastRenderedPageBreak/>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lastRenderedPageBreak/>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lastRenderedPageBreak/>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A8301C" w:rsidRPr="00A8301C">
        <w:rPr>
          <w:rStyle w:val="a4"/>
          <w:rFonts w:ascii="Arial Unicode MS" w:eastAsia="Arial Unicode MS" w:hAnsi="Arial Unicode MS" w:cs="Arial Unicode MS"/>
          <w:b w:val="0"/>
          <w:sz w:val="28"/>
          <w:szCs w:val="28"/>
        </w:rPr>
        <w:t>premature</w:t>
      </w:r>
      <w:r w:rsidR="002856B0">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lastRenderedPageBreak/>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bookmarkStart w:id="0" w:name="_GoBack"/>
      <w:bookmarkEnd w:id="0"/>
    </w:p>
    <w:sectPr w:rsidR="005E16DC" w:rsidRPr="008F4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618" w:rsidRDefault="00D50618" w:rsidP="00F91C34">
      <w:r>
        <w:separator/>
      </w:r>
    </w:p>
  </w:endnote>
  <w:endnote w:type="continuationSeparator" w:id="0">
    <w:p w:rsidR="00D50618" w:rsidRDefault="00D5061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618" w:rsidRDefault="00D50618" w:rsidP="00F91C34">
      <w:r>
        <w:separator/>
      </w:r>
    </w:p>
  </w:footnote>
  <w:footnote w:type="continuationSeparator" w:id="0">
    <w:p w:rsidR="00D50618" w:rsidRDefault="00D5061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23E"/>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371"/>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486"/>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2A8"/>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2B0"/>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87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3BB5"/>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D2"/>
    <w:rsid w:val="00CB0F0E"/>
    <w:rsid w:val="00CB1658"/>
    <w:rsid w:val="00CB243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0F50"/>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31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1BF"/>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59D"/>
    <w:rsid w:val="00F43DFD"/>
    <w:rsid w:val="00F440E0"/>
    <w:rsid w:val="00F4488A"/>
    <w:rsid w:val="00F44D4F"/>
    <w:rsid w:val="00F45139"/>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4CEE-0DA7-4297-BF88-CAE86DA2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21259</TotalTime>
  <Pages>1</Pages>
  <Words>11528</Words>
  <Characters>65710</Characters>
  <Application>Microsoft Office Word</Application>
  <DocSecurity>0</DocSecurity>
  <Lines>547</Lines>
  <Paragraphs>154</Paragraphs>
  <ScaleCrop>false</ScaleCrop>
  <Company/>
  <LinksUpToDate>false</LinksUpToDate>
  <CharactersWithSpaces>77084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9235</cp:revision>
  <dcterms:created xsi:type="dcterms:W3CDTF">2018-09-21T05:11:00Z</dcterms:created>
  <dcterms:modified xsi:type="dcterms:W3CDTF">2020-05-13T07:15:00Z</dcterms:modified>
</cp:coreProperties>
</file>