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472CE153" w:rsidR="00D60C48" w:rsidRDefault="00C00420" w:rsidP="00C00420">
      <w:pPr>
        <w:rPr>
          <w:sz w:val="24"/>
          <w:szCs w:val="24"/>
        </w:rPr>
      </w:pPr>
      <w:r>
        <w:rPr>
          <w:sz w:val="28"/>
          <w:szCs w:val="28"/>
        </w:rPr>
        <w:t xml:space="preserve">      </w:t>
      </w:r>
      <w:r w:rsidR="00D326D2">
        <w:rPr>
          <w:sz w:val="24"/>
          <w:szCs w:val="24"/>
        </w:rPr>
        <w:t xml:space="preserve">Fue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D60C48">
        <w:rPr>
          <w:sz w:val="24"/>
          <w:szCs w:val="24"/>
        </w:rPr>
        <w:t>Dichos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del </w:t>
      </w:r>
      <w:proofErr w:type="gramStart"/>
      <w:r w:rsidR="00D808F0">
        <w:rPr>
          <w:sz w:val="24"/>
          <w:szCs w:val="24"/>
        </w:rPr>
        <w:t>continuo salud</w:t>
      </w:r>
      <w:proofErr w:type="gramEnd"/>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77777777"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Sin embargo, en los últimos años, </w:t>
      </w:r>
      <w:r w:rsidR="00B5341C">
        <w:rPr>
          <w:sz w:val="24"/>
          <w:szCs w:val="24"/>
        </w:rPr>
        <w:t xml:space="preserve">se viene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C00420">
        <w:rPr>
          <w:sz w:val="24"/>
          <w:szCs w:val="24"/>
        </w:rPr>
        <w:t xml:space="preserve"> </w:t>
      </w:r>
      <w:r w:rsidRPr="0036119D">
        <w:rPr>
          <w:sz w:val="24"/>
          <w:szCs w:val="24"/>
        </w:rPr>
        <w:t>(Silvaggi &amp; Miraglia, 2017).</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6A8B60CB" w14:textId="77777777" w:rsidR="00F559C5" w:rsidRDefault="00C00420" w:rsidP="00C00420">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000D2930" w14:textId="77777777" w:rsidR="004E746D" w:rsidRPr="00C00420" w:rsidRDefault="00C00420" w:rsidP="00A863D9">
      <w:pPr>
        <w:rPr>
          <w:sz w:val="24"/>
          <w:szCs w:val="24"/>
        </w:rPr>
      </w:pPr>
      <w:r>
        <w:rPr>
          <w:sz w:val="24"/>
          <w:szCs w:val="24"/>
        </w:rPr>
        <w:t xml:space="preserve">     </w:t>
      </w:r>
      <w:r w:rsidR="00A863D9" w:rsidRPr="00C00420">
        <w:rPr>
          <w:sz w:val="24"/>
          <w:szCs w:val="24"/>
        </w:rPr>
        <w:t>La sa</w:t>
      </w:r>
      <w:r w:rsidR="00B5341C">
        <w:rPr>
          <w:sz w:val="24"/>
          <w:szCs w:val="24"/>
        </w:rPr>
        <w:t>lud mental laboral,</w:t>
      </w:r>
      <w:r w:rsidR="00A863D9">
        <w:rPr>
          <w:sz w:val="24"/>
          <w:szCs w:val="24"/>
        </w:rPr>
        <w:t xml:space="preserve"> siempre </w:t>
      </w:r>
      <w:ins w:id="0" w:author="Rodrigo" w:date="2025-03-06T11:30:00Z">
        <w:r w:rsidR="00A863D9">
          <w:rPr>
            <w:sz w:val="24"/>
            <w:szCs w:val="24"/>
          </w:rPr>
          <w:t>sis</w:t>
        </w:r>
      </w:ins>
      <w:r w:rsidR="00A863D9" w:rsidRPr="00C00420">
        <w:rPr>
          <w:sz w:val="24"/>
          <w:szCs w:val="24"/>
        </w:rPr>
        <w:t xml:space="preserve">ha sido un </w:t>
      </w:r>
      <w:r w:rsidR="00A863D9">
        <w:rPr>
          <w:sz w:val="24"/>
          <w:szCs w:val="24"/>
        </w:rPr>
        <w:t>elemento fundamental en las organizaciones, pero no</w:t>
      </w:r>
      <w:r w:rsidR="00B5341C">
        <w:rPr>
          <w:sz w:val="24"/>
          <w:szCs w:val="24"/>
        </w:rPr>
        <w:t xml:space="preserve"> era tenida realmente en cue</w:t>
      </w:r>
      <w:r w:rsidR="00A863D9">
        <w:rPr>
          <w:sz w:val="24"/>
          <w:szCs w:val="24"/>
        </w:rPr>
        <w:t>nta, esto viene cambiando debido a diferentes acontecimientos</w:t>
      </w:r>
      <w:r w:rsidR="00B5341C">
        <w:rPr>
          <w:sz w:val="24"/>
          <w:szCs w:val="24"/>
        </w:rPr>
        <w:t xml:space="preserve"> históricos </w:t>
      </w:r>
      <w:r w:rsidR="00A863D9">
        <w:rPr>
          <w:sz w:val="24"/>
          <w:szCs w:val="24"/>
        </w:rPr>
        <w:t xml:space="preserve">y </w:t>
      </w:r>
      <w:r w:rsidR="00B5341C">
        <w:rPr>
          <w:sz w:val="24"/>
          <w:szCs w:val="24"/>
        </w:rPr>
        <w:t xml:space="preserve">a </w:t>
      </w:r>
      <w:r w:rsidR="00A863D9">
        <w:rPr>
          <w:sz w:val="24"/>
          <w:szCs w:val="24"/>
        </w:rPr>
        <w:t xml:space="preserve">el evidente incremento de problemáticas de salud mental en las organizaciones, en los últimos años se </w:t>
      </w:r>
      <w:r w:rsidR="00B5341C">
        <w:rPr>
          <w:sz w:val="24"/>
          <w:szCs w:val="24"/>
        </w:rPr>
        <w:t>está mostrando</w:t>
      </w:r>
      <w:r w:rsidR="00A863D9">
        <w:rPr>
          <w:sz w:val="24"/>
          <w:szCs w:val="24"/>
        </w:rPr>
        <w:t xml:space="preserve"> un real interés y preocupación en este tema por parte de diferentes actores</w:t>
      </w:r>
      <w:r w:rsidR="00B5341C" w:rsidRPr="00C00420">
        <w:rPr>
          <w:sz w:val="24"/>
          <w:szCs w:val="24"/>
        </w:rPr>
        <w:t>, especialmente a medida que las organizaciones han reconocido su impacto en el bienestar</w:t>
      </w:r>
      <w:r w:rsidR="00B5341C">
        <w:rPr>
          <w:sz w:val="24"/>
          <w:szCs w:val="24"/>
        </w:rPr>
        <w:t xml:space="preserve"> y desarrollo</w:t>
      </w:r>
      <w:r w:rsidR="00B5341C" w:rsidRPr="00C00420">
        <w:rPr>
          <w:sz w:val="24"/>
          <w:szCs w:val="24"/>
        </w:rPr>
        <w:t xml:space="preserve"> de los empleados y en la productividad organizacional.</w:t>
      </w:r>
      <w:r w:rsidR="004E746D">
        <w:rPr>
          <w:sz w:val="24"/>
          <w:szCs w:val="24"/>
        </w:rPr>
        <w:t xml:space="preserve"> </w:t>
      </w:r>
      <w:r w:rsidR="004E746D" w:rsidRPr="004E746D">
        <w:rPr>
          <w:sz w:val="24"/>
          <w:szCs w:val="24"/>
        </w:rPr>
        <w:t>Evidentemente, la pandemia de COVID-19 ha exacerbado estos desafíos en salud mental, destacando la necesidad de programas robustos y  con alto impacto que aborden tanto los aspectos preventivos como los interventivos.</w:t>
      </w:r>
    </w:p>
    <w:p w14:paraId="13F1B6F6" w14:textId="77777777" w:rsidR="00B5341C" w:rsidRDefault="00B5341C" w:rsidP="00C00420">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77777777" w:rsidR="00B5341C" w:rsidRPr="00F559C5"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que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43239A48" w14:textId="77777777" w:rsidR="00F559C5" w:rsidRPr="00F559C5"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 xml:space="preserve">la desconexión psicológica </w:t>
      </w:r>
      <w:r w:rsidR="00F559C5" w:rsidRPr="00F559C5">
        <w:rPr>
          <w:sz w:val="24"/>
          <w:szCs w:val="24"/>
        </w:rPr>
        <w:lastRenderedPageBreak/>
        <w:t>y la mejora de las relaciones fam</w:t>
      </w:r>
      <w:r>
        <w:rPr>
          <w:sz w:val="24"/>
          <w:szCs w:val="24"/>
        </w:rPr>
        <w:t>iliares desde la prevención</w:t>
      </w:r>
      <w:r w:rsidR="00F559C5" w:rsidRPr="00F559C5">
        <w:rPr>
          <w:sz w:val="24"/>
          <w:szCs w:val="24"/>
        </w:rPr>
        <w:t xml:space="preserve">, y </w:t>
      </w:r>
      <w:r>
        <w:rPr>
          <w:sz w:val="24"/>
          <w:szCs w:val="24"/>
        </w:rPr>
        <w:t xml:space="preserve">por otra parte, </w:t>
      </w:r>
      <w:r w:rsidR="00F559C5" w:rsidRPr="00F559C5">
        <w:rPr>
          <w:sz w:val="24"/>
          <w:szCs w:val="24"/>
        </w:rPr>
        <w:t>el aumento de los recursos organizacionales para reducir el estrés y la depr</w:t>
      </w:r>
      <w:r>
        <w:rPr>
          <w:sz w:val="24"/>
          <w:szCs w:val="24"/>
        </w:rPr>
        <w:t>esión en el eje de intervención del programa</w:t>
      </w:r>
      <w:r w:rsidR="00F559C5" w:rsidRPr="00F559C5">
        <w:rPr>
          <w:sz w:val="24"/>
          <w:szCs w:val="24"/>
        </w:rPr>
        <w:t>. La salud mental de los empleados no solo depende de los factores individuales o personales, sino también de las condiciones organizacionales y los recursos disponibles dentro de la estructura laboral</w:t>
      </w:r>
      <w:r>
        <w:rPr>
          <w:sz w:val="24"/>
          <w:szCs w:val="24"/>
        </w:rPr>
        <w:t xml:space="preserve">. Por ejemplo, Arnetz, Lucas, &amp; Arnetz, </w:t>
      </w:r>
      <w:r w:rsidR="0036119D">
        <w:rPr>
          <w:sz w:val="24"/>
          <w:szCs w:val="24"/>
        </w:rPr>
        <w:t>(</w:t>
      </w:r>
      <w:r>
        <w:rPr>
          <w:sz w:val="24"/>
          <w:szCs w:val="24"/>
        </w:rPr>
        <w:t>2011</w:t>
      </w:r>
      <w:r w:rsidR="0036119D">
        <w:rPr>
          <w:sz w:val="24"/>
          <w:szCs w:val="24"/>
        </w:rPr>
        <w:t>)</w:t>
      </w:r>
      <w:r>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00F559C5"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77777777"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la mejora de la calidad de las relaciones familiares</w:t>
      </w:r>
      <w:r w:rsidR="0036119D">
        <w:rPr>
          <w:sz w:val="24"/>
          <w:szCs w:val="24"/>
        </w:rPr>
        <w:t xml:space="preserve"> </w:t>
      </w:r>
      <w:r w:rsidR="00F559C5" w:rsidRPr="00F559C5">
        <w:rPr>
          <w:sz w:val="24"/>
          <w:szCs w:val="24"/>
        </w:rPr>
        <w:t xml:space="preserve"> y </w:t>
      </w:r>
      <w:r w:rsidR="00BC7225">
        <w:rPr>
          <w:sz w:val="24"/>
          <w:szCs w:val="24"/>
        </w:rPr>
        <w:t xml:space="preserve"> a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xml:space="preserve">, como programas de capacitación en salud mental, apoyo psicosocial y condiciones laborales más favorables, los empleados experimentan una mejora en su bienestar general. A través de </w:t>
      </w:r>
      <w:r w:rsidR="00F559C5" w:rsidRPr="00F559C5">
        <w:rPr>
          <w:sz w:val="24"/>
          <w:szCs w:val="24"/>
        </w:rPr>
        <w:lastRenderedPageBreak/>
        <w:t>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Dobson et al. (2019) destacan en su meta-análisis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lastRenderedPageBreak/>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77777777" w:rsidR="008117FB" w:rsidRDefault="008117FB" w:rsidP="00F559C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organizaciones,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investigación,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491EC74E" w14:textId="4246EAB2" w:rsidR="00D808F0" w:rsidRDefault="00D808F0" w:rsidP="00F559C5">
      <w:pPr>
        <w:pStyle w:val="Prrafodelista"/>
        <w:rPr>
          <w:kern w:val="0"/>
          <w14:ligatures w14:val="none"/>
        </w:rPr>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2558144E" w14:textId="77777777" w:rsidR="00D808F0" w:rsidRPr="00433151" w:rsidRDefault="00D808F0"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8"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6D68DCE2" w14:textId="77777777" w:rsidR="00F559C5" w:rsidRPr="00433151" w:rsidRDefault="00AD05D0" w:rsidP="00F559C5">
      <w:pPr>
        <w:pStyle w:val="Prrafodelista"/>
        <w:rPr>
          <w:highlight w:val="yellow"/>
          <w:lang w:val="en-US"/>
        </w:rPr>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9" w:history="1">
        <w:r w:rsidRPr="00433151">
          <w:rPr>
            <w:rStyle w:val="Hipervnculo"/>
            <w:highlight w:val="yellow"/>
            <w:lang w:val="en-US"/>
          </w:rPr>
          <w:t>https://doi.org/10.1177/0706743719842559</w:t>
        </w:r>
      </w:hyperlink>
    </w:p>
    <w:p w14:paraId="6AEEBCAA" w14:textId="77777777" w:rsidR="00AD05D0" w:rsidRPr="00433151" w:rsidRDefault="00AD05D0"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0"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1"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lastRenderedPageBreak/>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77777777" w:rsidR="00AD05D0" w:rsidRPr="00433151" w:rsidRDefault="00AD05D0" w:rsidP="00F559C5">
      <w:pPr>
        <w:pStyle w:val="Prrafodelista"/>
        <w:rPr>
          <w:highlight w:val="yellow"/>
          <w:lang w:val="en-US"/>
        </w:rPr>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2" w:history="1">
        <w:r w:rsidRPr="00433151">
          <w:rPr>
            <w:rStyle w:val="Hipervnculo"/>
            <w:highlight w:val="yellow"/>
            <w:lang w:val="en-US"/>
          </w:rPr>
          <w:t>https://doi.org/10.18270/chps..v22i1.4034</w:t>
        </w:r>
      </w:hyperlink>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International journal of environmental research and public health, 16(23), 4602. </w:t>
      </w:r>
      <w:hyperlink r:id="rId13"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4"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Pr="00433151" w:rsidRDefault="00AD05D0" w:rsidP="00F559C5">
      <w:pPr>
        <w:pStyle w:val="Prrafodelista"/>
        <w:rPr>
          <w:highlight w:val="yellow"/>
          <w:lang w:val="en-US"/>
        </w:rPr>
      </w:pPr>
      <w:r w:rsidRPr="00433151">
        <w:rPr>
          <w:highlight w:val="yellow"/>
          <w:lang w:val="en-US"/>
        </w:rPr>
        <w:t xml:space="preserve">Silvaggi, F., &amp; Miraglia, M. (2017). Mental health at work: A review of interventions in organizations. E-Journal of International and Comparative Labour Studies, 6(1), 34-58. </w:t>
      </w:r>
      <w:hyperlink r:id="rId15" w:history="1">
        <w:r w:rsidRPr="00433151">
          <w:rPr>
            <w:rStyle w:val="Hipervnculo"/>
            <w:highlight w:val="yellow"/>
            <w:lang w:val="en-US"/>
          </w:rPr>
          <w:t>http://ejcls.adapt.it/index.php/ejcls_adapt/article/view/443</w:t>
        </w:r>
      </w:hyperlink>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6"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7"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18"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36119D"/>
    <w:rsid w:val="003F1A2C"/>
    <w:rsid w:val="00433151"/>
    <w:rsid w:val="00460534"/>
    <w:rsid w:val="004E746D"/>
    <w:rsid w:val="005326F1"/>
    <w:rsid w:val="00750107"/>
    <w:rsid w:val="008117FB"/>
    <w:rsid w:val="00956C2D"/>
    <w:rsid w:val="00980A72"/>
    <w:rsid w:val="009F03CA"/>
    <w:rsid w:val="00A134C4"/>
    <w:rsid w:val="00A7092E"/>
    <w:rsid w:val="00A863D9"/>
    <w:rsid w:val="00AB67AB"/>
    <w:rsid w:val="00AD05D0"/>
    <w:rsid w:val="00B1620D"/>
    <w:rsid w:val="00B31825"/>
    <w:rsid w:val="00B5341C"/>
    <w:rsid w:val="00BC7225"/>
    <w:rsid w:val="00BD45D2"/>
    <w:rsid w:val="00C00420"/>
    <w:rsid w:val="00C624BA"/>
    <w:rsid w:val="00D326D2"/>
    <w:rsid w:val="00D60C48"/>
    <w:rsid w:val="00D808F0"/>
    <w:rsid w:val="00EA3B8E"/>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ocp0000126" TargetMode="External"/><Relationship Id="rId13" Type="http://schemas.openxmlformats.org/officeDocument/2006/relationships/hyperlink" Target="https://doi.org/10.3390/ijerph16234602" TargetMode="External"/><Relationship Id="rId18" Type="http://schemas.openxmlformats.org/officeDocument/2006/relationships/hyperlink" Target="https://doi.org/10.3389/fpsyg.2019.02745" TargetMode="External"/><Relationship Id="rId3" Type="http://schemas.openxmlformats.org/officeDocument/2006/relationships/settings" Target="settings.xml"/><Relationship Id="rId7" Type="http://schemas.openxmlformats.org/officeDocument/2006/relationships/hyperlink" Target="https://doi.org/10.4000/laboreal.8030" TargetMode="External"/><Relationship Id="rId12" Type="http://schemas.openxmlformats.org/officeDocument/2006/relationships/hyperlink" Target="https://doi.org/10.18270/chps..v22i1.4034" TargetMode="External"/><Relationship Id="rId17" Type="http://schemas.openxmlformats.org/officeDocument/2006/relationships/hyperlink" Target="https://doi.org/10.3389/fpsyg.2016.02072" TargetMode="External"/><Relationship Id="rId2" Type="http://schemas.openxmlformats.org/officeDocument/2006/relationships/styles" Target="styles.xml"/><Relationship Id="rId16" Type="http://schemas.openxmlformats.org/officeDocument/2006/relationships/hyperlink" Target="https://doi.org/10.1002/job.19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2/job.2124" TargetMode="External"/><Relationship Id="rId5" Type="http://schemas.openxmlformats.org/officeDocument/2006/relationships/hyperlink" Target="https://doi.org/10.29393/EID4-26MPDA10026" TargetMode="External"/><Relationship Id="rId15" Type="http://schemas.openxmlformats.org/officeDocument/2006/relationships/hyperlink" Target="http://ejcls.adapt.it/index.php/ejcls_adapt/article/view/443" TargetMode="External"/><Relationship Id="rId10" Type="http://schemas.openxmlformats.org/officeDocument/2006/relationships/hyperlink" Target="https://doi.org/10.1007/978-3-319-54678-0_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77/0706743719842559" TargetMode="External"/><Relationship Id="rId14" Type="http://schemas.openxmlformats.org/officeDocument/2006/relationships/hyperlink" Target="https://papers.ssrn.com/sol3/papers.cfm?abstract_id=3393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2923</Words>
  <Characters>16080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Luz Bety Diaz Subieta</cp:lastModifiedBy>
  <cp:revision>4</cp:revision>
  <cp:lastPrinted>2025-03-06T18:55:00Z</cp:lastPrinted>
  <dcterms:created xsi:type="dcterms:W3CDTF">2025-03-17T16:11:00Z</dcterms:created>
  <dcterms:modified xsi:type="dcterms:W3CDTF">2025-03-17T20:08:00Z</dcterms:modified>
</cp:coreProperties>
</file>