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24F0F180" w:rsidR="00D60C48" w:rsidRDefault="00C00420" w:rsidP="00C00420">
      <w:pPr>
        <w:rPr>
          <w:sz w:val="24"/>
          <w:szCs w:val="24"/>
        </w:rPr>
      </w:pPr>
      <w:r>
        <w:rPr>
          <w:sz w:val="28"/>
          <w:szCs w:val="28"/>
        </w:rPr>
        <w:t xml:space="preserve">      </w:t>
      </w:r>
      <w:r w:rsidR="00D326D2">
        <w:rPr>
          <w:sz w:val="24"/>
          <w:szCs w:val="24"/>
        </w:rPr>
        <w:t xml:space="preserve"> </w:t>
      </w:r>
      <w:r w:rsidR="00DD2ABA">
        <w:rPr>
          <w:sz w:val="24"/>
          <w:szCs w:val="24"/>
        </w:rPr>
        <w:t>A partir de i</w:t>
      </w:r>
      <w:r w:rsidR="00B31825">
        <w:rPr>
          <w:sz w:val="24"/>
          <w:szCs w:val="24"/>
        </w:rPr>
        <w:t>nicios de</w:t>
      </w:r>
      <w:r w:rsidR="00D60C48">
        <w:rPr>
          <w:sz w:val="24"/>
          <w:szCs w:val="24"/>
        </w:rPr>
        <w:t xml:space="preserve"> 1950, 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w:t>
      </w:r>
      <w:r w:rsidR="00DD2ABA">
        <w:rPr>
          <w:sz w:val="24"/>
          <w:szCs w:val="24"/>
        </w:rPr>
        <w:t>parte,</w:t>
      </w:r>
      <w:r w:rsidR="00D326D2">
        <w:rPr>
          <w:sz w:val="24"/>
          <w:szCs w:val="24"/>
        </w:rPr>
        <w:t xml:space="preserve"> recuerda entre estos estudios iniciales, uno llevado a cabo por Begoin, (1957) sobre las neurosis de las </w:t>
      </w:r>
      <w:proofErr w:type="gramStart"/>
      <w:r w:rsidR="00D326D2">
        <w:rPr>
          <w:sz w:val="24"/>
          <w:szCs w:val="24"/>
        </w:rPr>
        <w:t>telefonistas  y</w:t>
      </w:r>
      <w:proofErr w:type="gramEnd"/>
      <w:r w:rsidR="00D326D2">
        <w:rPr>
          <w:sz w:val="24"/>
          <w:szCs w:val="24"/>
        </w:rPr>
        <w:t xml:space="preserve"> que las dinámicas psicológicas del trabajo fueron abordadas a mayor profundidad a partir del Laboratorio de Ergonomía de Wisner, que surgió en 1970</w:t>
      </w:r>
      <w:r w:rsidR="00DD2ABA">
        <w:rPr>
          <w:sz w:val="24"/>
          <w:szCs w:val="24"/>
        </w:rPr>
        <w:t>. D</w:t>
      </w:r>
      <w:r w:rsidR="00D326D2">
        <w:rPr>
          <w:sz w:val="24"/>
          <w:szCs w:val="24"/>
        </w:rPr>
        <w:t xml:space="preserve">e otra </w:t>
      </w:r>
      <w:proofErr w:type="gramStart"/>
      <w:r w:rsidR="00D326D2">
        <w:rPr>
          <w:sz w:val="24"/>
          <w:szCs w:val="24"/>
        </w:rPr>
        <w:t>parte</w:t>
      </w:r>
      <w:proofErr w:type="gramEnd"/>
      <w:r w:rsidR="00D326D2">
        <w:rPr>
          <w:sz w:val="24"/>
          <w:szCs w:val="24"/>
        </w:rPr>
        <w:t xml:space="preserve"> este mismo autor explica que las temáticas relacionadas con salud mental en las </w:t>
      </w:r>
      <w:r w:rsidR="00DD2ABA">
        <w:rPr>
          <w:sz w:val="24"/>
          <w:szCs w:val="24"/>
        </w:rPr>
        <w:t>organizaciones</w:t>
      </w:r>
      <w:r w:rsidR="00D326D2">
        <w:rPr>
          <w:sz w:val="24"/>
          <w:szCs w:val="24"/>
        </w:rPr>
        <w:t xml:space="preserve"> se empezaron a </w:t>
      </w:r>
      <w:r w:rsidR="00DD2ABA">
        <w:rPr>
          <w:sz w:val="24"/>
          <w:szCs w:val="24"/>
        </w:rPr>
        <w:t>abordar</w:t>
      </w:r>
      <w:r w:rsidR="00D326D2">
        <w:rPr>
          <w:sz w:val="24"/>
          <w:szCs w:val="24"/>
        </w:rPr>
        <w:t xml:space="preserve"> a partir del reconocimiento de los conflictos que surgen entre la estructura y funcionamiento laboral y los aspectos psicológicos de los trabajadores.  </w:t>
      </w:r>
      <w:r w:rsidR="004715F8">
        <w:rPr>
          <w:sz w:val="24"/>
          <w:szCs w:val="24"/>
        </w:rPr>
        <w:t>Estos</w:t>
      </w:r>
      <w:r w:rsidR="00D60C48">
        <w:rPr>
          <w:sz w:val="24"/>
          <w:szCs w:val="24"/>
        </w:rPr>
        <w:t xml:space="preserve">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de</w:t>
      </w:r>
      <w:r w:rsidR="00DD2ABA">
        <w:rPr>
          <w:sz w:val="24"/>
          <w:szCs w:val="24"/>
        </w:rPr>
        <w:t xml:space="preserve"> la </w:t>
      </w:r>
      <w:r w:rsidR="004715F8">
        <w:rPr>
          <w:sz w:val="24"/>
          <w:szCs w:val="24"/>
        </w:rPr>
        <w:t>salud</w:t>
      </w:r>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372938C8"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w:t>
      </w:r>
      <w:r w:rsidR="004715F8" w:rsidRPr="0036119D">
        <w:rPr>
          <w:sz w:val="24"/>
          <w:szCs w:val="24"/>
        </w:rPr>
        <w:t xml:space="preserve">Silvaggi &amp; Miraglia, </w:t>
      </w:r>
      <w:r w:rsidR="004715F8">
        <w:rPr>
          <w:sz w:val="24"/>
          <w:szCs w:val="24"/>
        </w:rPr>
        <w:t>(</w:t>
      </w:r>
      <w:r w:rsidR="004715F8" w:rsidRPr="0036119D">
        <w:rPr>
          <w:sz w:val="24"/>
          <w:szCs w:val="24"/>
        </w:rPr>
        <w:t>2017</w:t>
      </w:r>
      <w:r w:rsidR="004715F8">
        <w:rPr>
          <w:sz w:val="24"/>
          <w:szCs w:val="24"/>
        </w:rPr>
        <w:t>) indica que desde el año 2000 en adelante, se viene</w:t>
      </w:r>
      <w:r w:rsidR="00B5341C">
        <w:rPr>
          <w:sz w:val="24"/>
          <w:szCs w:val="24"/>
        </w:rPr>
        <w:t xml:space="preserve"> fortaleciendo la prevención</w:t>
      </w:r>
      <w:r w:rsidR="00DD2ABA">
        <w:rPr>
          <w:sz w:val="24"/>
          <w:szCs w:val="24"/>
        </w:rPr>
        <w:t xml:space="preserve"> en salud mental, </w:t>
      </w:r>
      <w:r w:rsidR="00B5341C">
        <w:rPr>
          <w:sz w:val="24"/>
          <w:szCs w:val="24"/>
        </w:rPr>
        <w:t xml:space="preserve">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36119D">
        <w:rPr>
          <w:sz w:val="24"/>
          <w:szCs w:val="24"/>
        </w:rPr>
        <w:t>.</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00DD2ABA">
        <w:rPr>
          <w:sz w:val="24"/>
          <w:szCs w:val="24"/>
        </w:rPr>
        <w:t xml:space="preserve">, como lo afirma el estudio de </w:t>
      </w:r>
      <w:r w:rsidRPr="00C00420">
        <w:rPr>
          <w:sz w:val="24"/>
          <w:szCs w:val="24"/>
        </w:rPr>
        <w:t xml:space="preserve">Arnetz et al., </w:t>
      </w:r>
      <w:r w:rsidR="00DD2ABA">
        <w:rPr>
          <w:sz w:val="24"/>
          <w:szCs w:val="24"/>
        </w:rPr>
        <w:t>(</w:t>
      </w:r>
      <w:r w:rsidRPr="00C00420">
        <w:rPr>
          <w:sz w:val="24"/>
          <w:szCs w:val="24"/>
        </w:rPr>
        <w:t>2011).</w:t>
      </w:r>
      <w:r w:rsidR="00B5341C">
        <w:rPr>
          <w:sz w:val="24"/>
          <w:szCs w:val="24"/>
        </w:rPr>
        <w:t xml:space="preserve"> Esta mirada sistémica de la salud mental es clave para una efectiva actuación en los contextos organizacionales.</w:t>
      </w:r>
    </w:p>
    <w:p w14:paraId="000D2930" w14:textId="0FDA87DD" w:rsidR="004E746D" w:rsidRPr="00C00420" w:rsidRDefault="00C00420" w:rsidP="00A863D9">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w:t>
      </w:r>
      <w:r w:rsidR="00A863D9">
        <w:rPr>
          <w:sz w:val="24"/>
          <w:szCs w:val="24"/>
        </w:rPr>
        <w:lastRenderedPageBreak/>
        <w:t>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30B31E99" w14:textId="77777777" w:rsidR="0040047E" w:rsidRDefault="00B5341C" w:rsidP="0040047E">
      <w:pPr>
        <w:rPr>
          <w:sz w:val="24"/>
          <w:szCs w:val="24"/>
        </w:rPr>
      </w:pPr>
      <w:r>
        <w:rPr>
          <w:sz w:val="24"/>
          <w:szCs w:val="24"/>
        </w:rPr>
        <w:t xml:space="preserve">    </w:t>
      </w:r>
      <w:r w:rsidR="00C00420">
        <w:rPr>
          <w:sz w:val="24"/>
          <w:szCs w:val="24"/>
        </w:rPr>
        <w:t xml:space="preserve">     </w:t>
      </w:r>
      <w:r w:rsidR="00D769AC">
        <w:rPr>
          <w:sz w:val="24"/>
          <w:szCs w:val="24"/>
        </w:rPr>
        <w:t xml:space="preserve">Teniendo en cuenta el estudio de </w:t>
      </w:r>
      <w:r w:rsidR="00D769AC" w:rsidRPr="00D769AC">
        <w:rPr>
          <w:sz w:val="24"/>
          <w:szCs w:val="24"/>
        </w:rPr>
        <w:t>Schmidt, D., Fritsch, J., Feil, K. </w:t>
      </w:r>
      <w:r w:rsidR="00D769AC" w:rsidRPr="00D769AC">
        <w:rPr>
          <w:i/>
          <w:iCs/>
          <w:sz w:val="24"/>
          <w:szCs w:val="24"/>
        </w:rPr>
        <w:t>et al</w:t>
      </w:r>
      <w:r w:rsidR="00D769AC">
        <w:rPr>
          <w:i/>
          <w:iCs/>
          <w:sz w:val="24"/>
          <w:szCs w:val="24"/>
        </w:rPr>
        <w:t xml:space="preserve"> </w:t>
      </w:r>
      <w:r w:rsidR="00D769AC">
        <w:rPr>
          <w:sz w:val="24"/>
          <w:szCs w:val="24"/>
        </w:rPr>
        <w:t xml:space="preserve">(2023) que comparó </w:t>
      </w:r>
      <w:r w:rsidR="00D769AC" w:rsidRPr="00D769AC">
        <w:rPr>
          <w:sz w:val="24"/>
          <w:szCs w:val="24"/>
        </w:rPr>
        <w:t>la efectividad de una intervención de prevención digital sobre</w:t>
      </w:r>
      <w:r w:rsidR="00D769AC">
        <w:rPr>
          <w:sz w:val="24"/>
          <w:szCs w:val="24"/>
        </w:rPr>
        <w:t xml:space="preserve"> </w:t>
      </w:r>
      <w:r w:rsidR="00D769AC" w:rsidRPr="00D769AC">
        <w:rPr>
          <w:sz w:val="24"/>
          <w:szCs w:val="24"/>
        </w:rPr>
        <w:t>la capacidad laboral, la salud física y la salud mental con un programa de prevención convencional para empleados con discapacidades</w:t>
      </w:r>
      <w:r w:rsidR="00D769AC">
        <w:rPr>
          <w:sz w:val="24"/>
          <w:szCs w:val="24"/>
        </w:rPr>
        <w:t xml:space="preserve"> </w:t>
      </w:r>
      <w:r w:rsidR="00D769AC" w:rsidRPr="00D769AC">
        <w:rPr>
          <w:sz w:val="24"/>
          <w:szCs w:val="24"/>
        </w:rPr>
        <w:t>iniciales</w:t>
      </w:r>
      <w:r w:rsidR="00D769AC">
        <w:rPr>
          <w:sz w:val="24"/>
          <w:szCs w:val="24"/>
        </w:rPr>
        <w:t xml:space="preserve">, cuyos resultados indican que los dos programas fueron efectivos para mejorar la salud mental de los trabajadores. </w:t>
      </w:r>
      <w:r w:rsidR="0040047E" w:rsidRPr="00F559C5">
        <w:rPr>
          <w:sz w:val="24"/>
          <w:szCs w:val="24"/>
        </w:rPr>
        <w:t>El objetivo central del presente proyecto de investigación</w:t>
      </w:r>
      <w:r w:rsidR="0040047E">
        <w:rPr>
          <w:sz w:val="24"/>
          <w:szCs w:val="24"/>
        </w:rPr>
        <w:t>,</w:t>
      </w:r>
      <w:r w:rsidR="0040047E" w:rsidRPr="00F559C5">
        <w:rPr>
          <w:sz w:val="24"/>
          <w:szCs w:val="24"/>
        </w:rPr>
        <w:t xml:space="preserve"> es medir el impacto de un programa de prevención e intervención en salud mental en las organizaciones,</w:t>
      </w:r>
      <w:r w:rsidR="0040047E">
        <w:rPr>
          <w:sz w:val="24"/>
          <w:szCs w:val="24"/>
        </w:rPr>
        <w:t xml:space="preserve"> enfocado en las variables dependientes: estrés, ansiedad y depresión y las variables independientes: </w:t>
      </w:r>
      <w:r w:rsidR="0040047E" w:rsidRPr="00F559C5">
        <w:rPr>
          <w:sz w:val="24"/>
          <w:szCs w:val="24"/>
        </w:rPr>
        <w:t>desconexión psicológica y la mejora de las relaciones fam</w:t>
      </w:r>
      <w:r w:rsidR="0040047E">
        <w:rPr>
          <w:sz w:val="24"/>
          <w:szCs w:val="24"/>
        </w:rPr>
        <w:t>iliares desde la prevención</w:t>
      </w:r>
      <w:r w:rsidR="0040047E" w:rsidRPr="00F559C5">
        <w:rPr>
          <w:sz w:val="24"/>
          <w:szCs w:val="24"/>
        </w:rPr>
        <w:t xml:space="preserve">, y </w:t>
      </w:r>
      <w:r w:rsidR="0040047E">
        <w:rPr>
          <w:sz w:val="24"/>
          <w:szCs w:val="24"/>
        </w:rPr>
        <w:t xml:space="preserve">por otra parte, las variables independientes desde la intervención son: </w:t>
      </w:r>
      <w:r w:rsidR="0040047E" w:rsidRPr="00F559C5">
        <w:rPr>
          <w:sz w:val="24"/>
          <w:szCs w:val="24"/>
        </w:rPr>
        <w:t xml:space="preserve"> aumento de los recursos organizacionales para reducir el estrés</w:t>
      </w:r>
      <w:r w:rsidR="0040047E">
        <w:rPr>
          <w:sz w:val="24"/>
          <w:szCs w:val="24"/>
        </w:rPr>
        <w:t>, y técnicas cognitivo conductuales para el manejo clínico de las afectaciones de salud mental en los trabajadores</w:t>
      </w:r>
      <w:r w:rsidR="0040047E" w:rsidRPr="00F559C5">
        <w:rPr>
          <w:sz w:val="24"/>
          <w:szCs w:val="24"/>
        </w:rPr>
        <w:t>.</w:t>
      </w:r>
    </w:p>
    <w:p w14:paraId="293BA0EB" w14:textId="756CE86D" w:rsidR="0040047E" w:rsidRDefault="0040047E" w:rsidP="0040047E">
      <w:pPr>
        <w:rPr>
          <w:sz w:val="24"/>
          <w:szCs w:val="24"/>
        </w:rPr>
      </w:pPr>
      <w:r>
        <w:rPr>
          <w:sz w:val="24"/>
          <w:szCs w:val="24"/>
        </w:rPr>
        <w:t xml:space="preserve">     Este proyecto se desarrolla a través de un </w:t>
      </w:r>
      <w:r w:rsidRPr="004E21F4">
        <w:rPr>
          <w:sz w:val="24"/>
          <w:szCs w:val="24"/>
        </w:rPr>
        <w:t>modelo multivariado</w:t>
      </w:r>
      <w:r>
        <w:rPr>
          <w:sz w:val="24"/>
          <w:szCs w:val="24"/>
        </w:rPr>
        <w:t xml:space="preserve">, </w:t>
      </w:r>
      <w:r w:rsidRPr="004E21F4">
        <w:rPr>
          <w:sz w:val="24"/>
          <w:szCs w:val="24"/>
        </w:rPr>
        <w:t>con un estudio mixto, centrado en un programa de mejoramiento de la salud mental en dos etapas: la  primera etapa es una IAP cualitativa y grupos focales para sensibilizar, concientizar a los lideres , recibir sus aportes y mostrarles el costo beneficio de atender adecu</w:t>
      </w:r>
      <w:r>
        <w:rPr>
          <w:sz w:val="24"/>
          <w:szCs w:val="24"/>
        </w:rPr>
        <w:t>a</w:t>
      </w:r>
      <w:r w:rsidRPr="004E21F4">
        <w:rPr>
          <w:sz w:val="24"/>
          <w:szCs w:val="24"/>
        </w:rPr>
        <w:t xml:space="preserve">damente la salud mental en </w:t>
      </w:r>
      <w:r>
        <w:rPr>
          <w:sz w:val="24"/>
          <w:szCs w:val="24"/>
        </w:rPr>
        <w:t>las</w:t>
      </w:r>
      <w:r w:rsidRPr="004E21F4">
        <w:rPr>
          <w:sz w:val="24"/>
          <w:szCs w:val="24"/>
        </w:rPr>
        <w:t xml:space="preserve"> organizaciones, la segunda etapa </w:t>
      </w:r>
      <w:r>
        <w:rPr>
          <w:sz w:val="24"/>
          <w:szCs w:val="24"/>
        </w:rPr>
        <w:t xml:space="preserve">es la de intervención y </w:t>
      </w:r>
      <w:r w:rsidRPr="004E21F4">
        <w:rPr>
          <w:sz w:val="24"/>
          <w:szCs w:val="24"/>
        </w:rPr>
        <w:t xml:space="preserve">tiene estos pasos: 1. la medición de la salud mental de los trabajadores </w:t>
      </w:r>
      <w:r>
        <w:rPr>
          <w:sz w:val="24"/>
          <w:szCs w:val="24"/>
        </w:rPr>
        <w:t>desde las variables independientes:</w:t>
      </w:r>
      <w:r w:rsidRPr="004E21F4">
        <w:rPr>
          <w:sz w:val="24"/>
          <w:szCs w:val="24"/>
        </w:rPr>
        <w:t xml:space="preserve"> estrés, ansiedad y depresión,  con instrumentos tipo test, entrevistas individuales y entrevistas grupales, 2. se diseña un programa para mejora de la salud mental organizacional en tres fases: a. prevención y promoción, b. intervenciones tempranas y c. intervención</w:t>
      </w:r>
      <w:r>
        <w:rPr>
          <w:sz w:val="24"/>
          <w:szCs w:val="24"/>
        </w:rPr>
        <w:t>; las intervenciones se plantean a través de estrategias psicológicas cognitivo conductuales individuales, grupales y organizacionales</w:t>
      </w:r>
      <w:r w:rsidRPr="004E21F4">
        <w:rPr>
          <w:sz w:val="24"/>
          <w:szCs w:val="24"/>
        </w:rPr>
        <w:t>, teniendo como aspectos de mediación y mitigación</w:t>
      </w:r>
      <w:r>
        <w:rPr>
          <w:sz w:val="24"/>
          <w:szCs w:val="24"/>
        </w:rPr>
        <w:t xml:space="preserve"> las variables independientes. En el presente estudio se mide </w:t>
      </w:r>
      <w:r w:rsidRPr="004E21F4">
        <w:rPr>
          <w:sz w:val="24"/>
          <w:szCs w:val="24"/>
        </w:rPr>
        <w:t>el impacto de las intervenciones tempranas, con monitoreo permanente</w:t>
      </w:r>
      <w:r>
        <w:rPr>
          <w:sz w:val="24"/>
          <w:szCs w:val="24"/>
        </w:rPr>
        <w:t xml:space="preserve"> a través de herramientas tecnológicas de IA, </w:t>
      </w:r>
      <w:r w:rsidRPr="004E21F4">
        <w:rPr>
          <w:sz w:val="24"/>
          <w:szCs w:val="24"/>
        </w:rPr>
        <w:t xml:space="preserve"> a lo largo de 1</w:t>
      </w:r>
      <w:r>
        <w:rPr>
          <w:sz w:val="24"/>
          <w:szCs w:val="24"/>
        </w:rPr>
        <w:t xml:space="preserve"> y medio,</w:t>
      </w:r>
      <w:r w:rsidRPr="004E21F4">
        <w:rPr>
          <w:sz w:val="24"/>
          <w:szCs w:val="24"/>
        </w:rPr>
        <w:t xml:space="preserve"> haciendo mediciones cada 2 meses. </w:t>
      </w:r>
      <w:r>
        <w:rPr>
          <w:sz w:val="24"/>
          <w:szCs w:val="24"/>
        </w:rPr>
        <w:t xml:space="preserve">Las estrategias de recolección de datos </w:t>
      </w:r>
      <w:proofErr w:type="gramStart"/>
      <w:r>
        <w:rPr>
          <w:sz w:val="24"/>
          <w:szCs w:val="24"/>
        </w:rPr>
        <w:t>la fase cualitativa son</w:t>
      </w:r>
      <w:proofErr w:type="gramEnd"/>
      <w:r>
        <w:rPr>
          <w:sz w:val="24"/>
          <w:szCs w:val="24"/>
        </w:rPr>
        <w:t xml:space="preserve">:  análisis de contenido, observación participante, grupos focales, entrevistas </w:t>
      </w:r>
      <w:r w:rsidR="000B0EEC">
        <w:rPr>
          <w:sz w:val="24"/>
          <w:szCs w:val="24"/>
        </w:rPr>
        <w:t>abiertas y</w:t>
      </w:r>
      <w:r>
        <w:rPr>
          <w:sz w:val="24"/>
          <w:szCs w:val="24"/>
        </w:rPr>
        <w:t xml:space="preserve"> sus instrumentos son: rejillas de observación, diarios de campo, protocolo de grupos focales, protocolo de entrevistas abiertas. </w:t>
      </w:r>
    </w:p>
    <w:p w14:paraId="6F991602" w14:textId="2178B5A5" w:rsidR="0040047E" w:rsidRDefault="0040047E" w:rsidP="0040047E">
      <w:pPr>
        <w:rPr>
          <w:sz w:val="24"/>
          <w:szCs w:val="24"/>
        </w:rPr>
      </w:pPr>
      <w:r>
        <w:rPr>
          <w:sz w:val="24"/>
          <w:szCs w:val="24"/>
        </w:rPr>
        <w:lastRenderedPageBreak/>
        <w:t xml:space="preserve">      Las estrategias de recolección y análisis de datos de la fase cuantitativa son: Análisis de Regresión Multivariable. Las estrategias de recolección de datos son: entrevistas estructuradas y test estandarizados. Los instrumentos son: General – HVD: Indicadores de Bienestar y Salud Mental en el Mundo del Trabajo de la Universidad de La Sabana; </w:t>
      </w:r>
      <w:r w:rsidRPr="003B3E78">
        <w:rPr>
          <w:sz w:val="24"/>
          <w:szCs w:val="24"/>
        </w:rPr>
        <w:t>Cuestionario de Estrés Laboral (CESQT)</w:t>
      </w:r>
      <w:r>
        <w:rPr>
          <w:sz w:val="24"/>
          <w:szCs w:val="24"/>
        </w:rPr>
        <w:t xml:space="preserve">; </w:t>
      </w:r>
      <w:r w:rsidRPr="003B3E78">
        <w:rPr>
          <w:sz w:val="24"/>
          <w:szCs w:val="24"/>
        </w:rPr>
        <w:t>Escala de Ansiedad de Hamilton (HAM-A)</w:t>
      </w:r>
      <w:r>
        <w:rPr>
          <w:sz w:val="24"/>
          <w:szCs w:val="24"/>
        </w:rPr>
        <w:t xml:space="preserve">; </w:t>
      </w:r>
      <w:r w:rsidRPr="003B3E78">
        <w:rPr>
          <w:sz w:val="24"/>
          <w:szCs w:val="24"/>
        </w:rPr>
        <w:t>Cuestionario de Depresión en el Trabajo (WDQ - Workplace Depression Questionnaire)</w:t>
      </w:r>
      <w:r>
        <w:rPr>
          <w:sz w:val="24"/>
          <w:szCs w:val="24"/>
        </w:rPr>
        <w:t>.</w:t>
      </w:r>
    </w:p>
    <w:p w14:paraId="54BD5B8F" w14:textId="795DB40C" w:rsidR="0040047E" w:rsidRPr="00D769AC" w:rsidRDefault="0040047E" w:rsidP="00D769AC">
      <w:pPr>
        <w:rPr>
          <w:sz w:val="24"/>
          <w:szCs w:val="24"/>
        </w:rPr>
      </w:pPr>
      <w:r>
        <w:rPr>
          <w:sz w:val="24"/>
          <w:szCs w:val="24"/>
        </w:rPr>
        <w:t xml:space="preserve">     En el presente estudio, t</w:t>
      </w:r>
      <w:r w:rsidRPr="005326F1">
        <w:rPr>
          <w:sz w:val="24"/>
          <w:szCs w:val="24"/>
        </w:rPr>
        <w:t>anto</w:t>
      </w:r>
      <w:r>
        <w:rPr>
          <w:sz w:val="24"/>
          <w:szCs w:val="24"/>
        </w:rPr>
        <w:t xml:space="preserve"> el eje de prevención, como de intervención </w:t>
      </w:r>
      <w:r w:rsidRPr="005326F1">
        <w:rPr>
          <w:sz w:val="24"/>
          <w:szCs w:val="24"/>
        </w:rPr>
        <w:t>del programa tiene como base la teoría biopsicosocial</w:t>
      </w:r>
      <w:r w:rsidR="00982D5A">
        <w:rPr>
          <w:sz w:val="24"/>
          <w:szCs w:val="24"/>
        </w:rPr>
        <w:t xml:space="preserve"> de </w:t>
      </w:r>
      <w:r w:rsidR="00982D5A" w:rsidRPr="00982D5A">
        <w:rPr>
          <w:sz w:val="24"/>
          <w:szCs w:val="24"/>
        </w:rPr>
        <w:t>Engel, G. L. (1977</w:t>
      </w:r>
      <w:r w:rsidR="00982D5A">
        <w:rPr>
          <w:sz w:val="24"/>
          <w:szCs w:val="24"/>
        </w:rPr>
        <w:t xml:space="preserve">) explicado en </w:t>
      </w:r>
      <w:r w:rsidR="00982D5A" w:rsidRPr="00982D5A">
        <w:rPr>
          <w:sz w:val="24"/>
          <w:szCs w:val="24"/>
        </w:rPr>
        <w:t>Oblitas, L. (2006)</w:t>
      </w:r>
      <w:r w:rsidRPr="005326F1">
        <w:rPr>
          <w:sz w:val="24"/>
          <w:szCs w:val="24"/>
        </w:rPr>
        <w:t>, que integra las dimensiones biológica, psicológica y social del ser humano en el contexto organizacional.</w:t>
      </w: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03E360C2" w:rsidR="00B5341C"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w:t>
      </w:r>
      <w:r w:rsidR="003B3E78">
        <w:rPr>
          <w:sz w:val="24"/>
          <w:szCs w:val="24"/>
        </w:rPr>
        <w:t>que,</w:t>
      </w:r>
      <w:r w:rsidR="00C624BA">
        <w:rPr>
          <w:sz w:val="24"/>
          <w:szCs w:val="24"/>
        </w:rPr>
        <w:t xml:space="preserv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47E29EFD" w14:textId="7D2829CA" w:rsidR="005326F1" w:rsidRPr="00F559C5" w:rsidRDefault="00F559C5" w:rsidP="005326F1">
      <w:pPr>
        <w:rPr>
          <w:sz w:val="24"/>
          <w:szCs w:val="24"/>
        </w:rPr>
      </w:pPr>
      <w:r w:rsidRPr="00F559C5">
        <w:rPr>
          <w:sz w:val="24"/>
          <w:szCs w:val="24"/>
        </w:rPr>
        <w:t>La salud mental de los empleados no solo depende de los factores individuales o personales, sino también de las condiciones organizacionales y los recursos disponibles dentro de la estructura laboral</w:t>
      </w:r>
      <w:r w:rsidR="004E746D">
        <w:rPr>
          <w:sz w:val="24"/>
          <w:szCs w:val="24"/>
        </w:rPr>
        <w:t xml:space="preserve">. Por ejemplo, Arnetz, Lucas, &amp; Arnetz, </w:t>
      </w:r>
      <w:r w:rsidR="0036119D">
        <w:rPr>
          <w:sz w:val="24"/>
          <w:szCs w:val="24"/>
        </w:rPr>
        <w:t>(</w:t>
      </w:r>
      <w:r w:rsidR="004E746D">
        <w:rPr>
          <w:sz w:val="24"/>
          <w:szCs w:val="24"/>
        </w:rPr>
        <w:t>2011</w:t>
      </w:r>
      <w:r w:rsidR="0036119D">
        <w:rPr>
          <w:sz w:val="24"/>
          <w:szCs w:val="24"/>
        </w:rPr>
        <w:t>)</w:t>
      </w:r>
      <w:r w:rsidR="004E746D">
        <w:rPr>
          <w:sz w:val="24"/>
          <w:szCs w:val="24"/>
        </w:rPr>
        <w:t>, encuentran en su investigación que un clima laboral negativo o confuso, al igual que importantes niveles de estrés laboral, propician la aparición de trastornos de salud mental en los empleados</w:t>
      </w:r>
      <w:r w:rsidR="0036119D">
        <w:rPr>
          <w:sz w:val="24"/>
          <w:szCs w:val="24"/>
        </w:rPr>
        <w:t>, otro de los hallazgos importantes es que un clima laboral adecuado y la eficiencia organizacional en los procesos técnicos y humanos actúan como amortiguadores de los factores de riesgo para la salud mental laboral</w:t>
      </w:r>
      <w:r w:rsidRPr="00F559C5">
        <w:rPr>
          <w:sz w:val="24"/>
          <w:szCs w:val="24"/>
        </w:rPr>
        <w:t>. De esta forma, un ambiente organizacional que promueva la desconexión psicológica adecuada y el 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Además, se integra la inteligencia artificial como herramienta innovadora para optimizar la implementación y el seguimiento del programa.</w:t>
      </w:r>
      <w:r w:rsidR="00A7092E">
        <w:rPr>
          <w:sz w:val="24"/>
          <w:szCs w:val="24"/>
        </w:rPr>
        <w:t xml:space="preserve"> Un estudio de </w:t>
      </w:r>
      <w:r w:rsidR="00A7092E" w:rsidRPr="00C00420">
        <w:rPr>
          <w:sz w:val="24"/>
          <w:szCs w:val="24"/>
        </w:rPr>
        <w:t xml:space="preserve">Weber et al., </w:t>
      </w:r>
      <w:r w:rsidR="00A7092E">
        <w:rPr>
          <w:sz w:val="24"/>
          <w:szCs w:val="24"/>
        </w:rPr>
        <w:t xml:space="preserve">(2019), presenta varias evidencias como que por ejemplo a mayor nivel de participación y uso de una aplicación móvil para </w:t>
      </w:r>
      <w:r w:rsidR="00A7092E">
        <w:rPr>
          <w:sz w:val="24"/>
          <w:szCs w:val="24"/>
        </w:rPr>
        <w:lastRenderedPageBreak/>
        <w:t>mejorar la salud mental, mayor son los beneficios en el manejo y nivel de estrés y en el bienestar de los empleados</w:t>
      </w:r>
      <w:r w:rsidR="00A7092E" w:rsidRPr="00C00420">
        <w:rPr>
          <w:sz w:val="24"/>
          <w:szCs w:val="24"/>
        </w:rPr>
        <w:t>.</w:t>
      </w:r>
    </w:p>
    <w:p w14:paraId="5BFA19CA" w14:textId="33344B63" w:rsidR="005326F1" w:rsidRPr="00F559C5" w:rsidRDefault="005326F1" w:rsidP="005326F1">
      <w:pPr>
        <w:rPr>
          <w:sz w:val="24"/>
          <w:szCs w:val="24"/>
        </w:rPr>
      </w:pPr>
      <w:r>
        <w:rPr>
          <w:sz w:val="24"/>
          <w:szCs w:val="24"/>
        </w:rPr>
        <w:t xml:space="preserve">      </w:t>
      </w:r>
      <w:r w:rsidR="00982D5A">
        <w:rPr>
          <w:sz w:val="24"/>
          <w:szCs w:val="24"/>
        </w:rPr>
        <w:t>De acuerdo con</w:t>
      </w:r>
      <w:r w:rsidR="0036119D">
        <w:rPr>
          <w:sz w:val="24"/>
          <w:szCs w:val="24"/>
        </w:rPr>
        <w:t xml:space="preserve">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982D5A">
        <w:rPr>
          <w:sz w:val="24"/>
          <w:szCs w:val="24"/>
        </w:rPr>
        <w:t xml:space="preserve"> y </w:t>
      </w:r>
      <w:r w:rsidR="00982D5A" w:rsidRPr="00BC7225">
        <w:rPr>
          <w:rStyle w:val="author"/>
          <w:rFonts w:cstheme="minorHAnsi"/>
          <w:color w:val="1C1D1E"/>
          <w:sz w:val="24"/>
          <w:szCs w:val="24"/>
          <w:shd w:val="clear" w:color="auto" w:fill="FFFFFF"/>
        </w:rPr>
        <w:t>Sonnentag, S.</w:t>
      </w:r>
      <w:r w:rsidR="00982D5A" w:rsidRPr="00BC7225">
        <w:rPr>
          <w:rFonts w:cstheme="minorHAnsi"/>
          <w:color w:val="1C1D1E"/>
          <w:sz w:val="24"/>
          <w:szCs w:val="24"/>
          <w:shd w:val="clear" w:color="auto" w:fill="FFFFFF"/>
        </w:rPr>
        <w:t>, and </w:t>
      </w:r>
      <w:r w:rsidR="00982D5A" w:rsidRPr="00BC7225">
        <w:rPr>
          <w:rStyle w:val="author"/>
          <w:rFonts w:cstheme="minorHAnsi"/>
          <w:color w:val="1C1D1E"/>
          <w:sz w:val="24"/>
          <w:szCs w:val="24"/>
          <w:shd w:val="clear" w:color="auto" w:fill="FFFFFF"/>
        </w:rPr>
        <w:t>Fritz, C.</w:t>
      </w:r>
      <w:r w:rsidR="00982D5A" w:rsidRPr="00BC7225">
        <w:rPr>
          <w:rFonts w:cstheme="minorHAnsi"/>
          <w:color w:val="1C1D1E"/>
          <w:sz w:val="24"/>
          <w:szCs w:val="24"/>
          <w:shd w:val="clear" w:color="auto" w:fill="FFFFFF"/>
        </w:rPr>
        <w:t> (</w:t>
      </w:r>
      <w:r w:rsidR="00982D5A" w:rsidRPr="00BC7225">
        <w:rPr>
          <w:rStyle w:val="pubyear"/>
          <w:rFonts w:cstheme="minorHAnsi"/>
          <w:color w:val="1C1D1E"/>
          <w:sz w:val="24"/>
          <w:szCs w:val="24"/>
          <w:shd w:val="clear" w:color="auto" w:fill="FFFFFF"/>
        </w:rPr>
        <w:t>2015</w:t>
      </w:r>
      <w:r w:rsidR="00982D5A">
        <w:rPr>
          <w:rFonts w:cstheme="minorHAnsi"/>
          <w:color w:val="1C1D1E"/>
          <w:sz w:val="24"/>
          <w:szCs w:val="24"/>
          <w:shd w:val="clear" w:color="auto" w:fill="FFFFFF"/>
        </w:rPr>
        <w:t>)</w:t>
      </w:r>
      <w:r w:rsidR="00982D5A">
        <w:rPr>
          <w:rFonts w:cstheme="minorHAnsi"/>
          <w:color w:val="1C1D1E"/>
          <w:sz w:val="24"/>
          <w:szCs w:val="24"/>
          <w:shd w:val="clear" w:color="auto" w:fill="FFFFFF"/>
        </w:rPr>
        <w:t>,</w:t>
      </w:r>
      <w:r w:rsidR="0036119D">
        <w:rPr>
          <w:sz w:val="24"/>
          <w:szCs w:val="24"/>
        </w:rPr>
        <w:t xml:space="preserve"> </w:t>
      </w:r>
      <w:r w:rsidR="00F559C5" w:rsidRPr="00F559C5">
        <w:rPr>
          <w:sz w:val="24"/>
          <w:szCs w:val="24"/>
        </w:rPr>
        <w:t xml:space="preserve">la mejora de la calidad de las relaciones </w:t>
      </w:r>
      <w:r w:rsidR="00246097" w:rsidRPr="00F559C5">
        <w:rPr>
          <w:sz w:val="24"/>
          <w:szCs w:val="24"/>
        </w:rPr>
        <w:t>familiares</w:t>
      </w:r>
      <w:r w:rsidR="00982D5A">
        <w:rPr>
          <w:sz w:val="24"/>
          <w:szCs w:val="24"/>
        </w:rPr>
        <w:t xml:space="preserve"> es un factor significativo en la reducción del estrés laboral. Por otra parte, </w:t>
      </w:r>
      <w:r w:rsidRPr="00F559C5">
        <w:rPr>
          <w:sz w:val="24"/>
          <w:szCs w:val="24"/>
        </w:rPr>
        <w:t>Sandoval-Reyes et al. (2019),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00982D5A">
        <w:rPr>
          <w:sz w:val="24"/>
          <w:szCs w:val="24"/>
        </w:rPr>
        <w:t>L</w:t>
      </w:r>
      <w:r w:rsidRPr="00F559C5">
        <w:rPr>
          <w:sz w:val="24"/>
          <w:szCs w:val="24"/>
        </w:rPr>
        <w:t>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5A71B90F"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interven</w:t>
      </w:r>
      <w:r w:rsidR="000B0EEC">
        <w:rPr>
          <w:sz w:val="24"/>
          <w:szCs w:val="24"/>
        </w:rPr>
        <w:t>tivo de esta investigación</w:t>
      </w:r>
      <w:r w:rsidR="00F559C5" w:rsidRPr="00F559C5">
        <w:rPr>
          <w:sz w:val="24"/>
          <w:szCs w:val="24"/>
        </w:rPr>
        <w:t xml:space="preserve">,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0B0EEC">
        <w:rPr>
          <w:sz w:val="24"/>
          <w:szCs w:val="24"/>
        </w:rPr>
        <w:t xml:space="preserve">donde se </w:t>
      </w:r>
      <w:r w:rsidR="00F559C5" w:rsidRPr="00F559C5">
        <w:rPr>
          <w:sz w:val="24"/>
          <w:szCs w:val="24"/>
        </w:rPr>
        <w:t>plantea que el incremento de los recursos organizacionales</w:t>
      </w:r>
      <w:r w:rsidR="00982D5A">
        <w:rPr>
          <w:sz w:val="24"/>
          <w:szCs w:val="24"/>
        </w:rPr>
        <w:t xml:space="preserve"> tales como: demandas del trabajo, diseño del trabajo, flexibilidad, estrategias de bienestar, entre otros,</w:t>
      </w:r>
      <w:r w:rsidR="00F559C5" w:rsidRPr="00F559C5">
        <w:rPr>
          <w:sz w:val="24"/>
          <w:szCs w:val="24"/>
        </w:rPr>
        <w:t xml:space="preserve">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como programas de capacitación en salud mental, apoyo psicosocial y condiciones laborales más favorables, los empleados experimentan una mejora en su bienestar general. A través de 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14F7626A" w:rsidR="003F1A2C" w:rsidRDefault="00BC7225" w:rsidP="00F559C5">
      <w:pPr>
        <w:rPr>
          <w:sz w:val="24"/>
          <w:szCs w:val="24"/>
        </w:rPr>
      </w:pPr>
      <w:r>
        <w:rPr>
          <w:sz w:val="24"/>
          <w:szCs w:val="24"/>
        </w:rPr>
        <w:t xml:space="preserve">     </w:t>
      </w:r>
      <w:r w:rsidR="005326F1">
        <w:rPr>
          <w:sz w:val="24"/>
          <w:szCs w:val="24"/>
        </w:rPr>
        <w:t>En este</w:t>
      </w:r>
      <w:r w:rsidR="00F559C5" w:rsidRPr="00F559C5">
        <w:rPr>
          <w:sz w:val="24"/>
          <w:szCs w:val="24"/>
        </w:rPr>
        <w:t xml:space="preserve"> proyecto, al integrar un enfoque sistémico </w:t>
      </w:r>
      <w:r w:rsidR="00007AE5">
        <w:rPr>
          <w:sz w:val="24"/>
          <w:szCs w:val="24"/>
        </w:rPr>
        <w:t xml:space="preserve">en el que se revisan todas las partes de los procesos, que en el caso de esta investigación apunta a los factores </w:t>
      </w:r>
      <w:r w:rsidR="00F559C5" w:rsidRPr="00F559C5">
        <w:rPr>
          <w:sz w:val="24"/>
          <w:szCs w:val="24"/>
        </w:rPr>
        <w:t>de la organización</w:t>
      </w:r>
      <w:r w:rsidR="00007AE5">
        <w:rPr>
          <w:sz w:val="24"/>
          <w:szCs w:val="24"/>
        </w:rPr>
        <w:t xml:space="preserve"> y a los factores del empleado</w:t>
      </w:r>
      <w:r w:rsidR="00F559C5" w:rsidRPr="00F559C5">
        <w:rPr>
          <w:sz w:val="24"/>
          <w:szCs w:val="24"/>
        </w:rPr>
        <w:t xml:space="preserve">,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w:t>
      </w:r>
      <w:r w:rsidR="004334ED">
        <w:rPr>
          <w:sz w:val="24"/>
          <w:szCs w:val="24"/>
        </w:rPr>
        <w:t xml:space="preserve"> y medio</w:t>
      </w:r>
      <w:r w:rsidR="00F559C5" w:rsidRPr="00F559C5">
        <w:rPr>
          <w:sz w:val="24"/>
          <w:szCs w:val="24"/>
        </w:rPr>
        <w:t>, permitiendo obtener datos precisos sobre los efectos del prog</w:t>
      </w:r>
      <w:r w:rsidR="005326F1">
        <w:rPr>
          <w:sz w:val="24"/>
          <w:szCs w:val="24"/>
        </w:rPr>
        <w:t xml:space="preserve">rama de salud </w:t>
      </w:r>
      <w:r w:rsidR="005326F1">
        <w:rPr>
          <w:sz w:val="24"/>
          <w:szCs w:val="24"/>
        </w:rPr>
        <w:lastRenderedPageBreak/>
        <w:t>mental en</w:t>
      </w:r>
      <w:r w:rsidR="00F559C5" w:rsidRPr="00F559C5">
        <w:rPr>
          <w:sz w:val="24"/>
          <w:szCs w:val="24"/>
        </w:rPr>
        <w:t xml:space="preserve"> los empleados.</w:t>
      </w:r>
      <w:r w:rsidR="005326F1">
        <w:rPr>
          <w:sz w:val="24"/>
          <w:szCs w:val="24"/>
        </w:rPr>
        <w:t xml:space="preserve"> </w:t>
      </w:r>
      <w:r w:rsidR="00F559C5" w:rsidRPr="00F559C5">
        <w:rPr>
          <w:sz w:val="24"/>
          <w:szCs w:val="24"/>
        </w:rPr>
        <w:t>Dobson et al. (2019) destacan en su meta-análisis que los programas de reducción del estigma y promoción de la salud mental en el lugar de trabajo tienen un impacto positivo en la salud mental de los empleados. Estos hallazgos son consistentes con los de Montano et al. (2016), quienes 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6F3E3734" w14:textId="74B73EB1" w:rsidR="004334ED" w:rsidRDefault="004334ED" w:rsidP="004334ED">
      <w:pPr>
        <w:rPr>
          <w:sz w:val="24"/>
          <w:szCs w:val="24"/>
        </w:rPr>
      </w:pPr>
      <w:r>
        <w:rPr>
          <w:sz w:val="24"/>
          <w:szCs w:val="24"/>
        </w:rPr>
        <w:t xml:space="preserve">    </w:t>
      </w:r>
      <w:r w:rsidR="000B0EEC">
        <w:rPr>
          <w:sz w:val="24"/>
          <w:szCs w:val="24"/>
        </w:rPr>
        <w:t xml:space="preserve">   Entre los </w:t>
      </w:r>
      <w:r>
        <w:rPr>
          <w:sz w:val="24"/>
          <w:szCs w:val="24"/>
        </w:rPr>
        <w:t>vacíos teóricos</w:t>
      </w:r>
      <w:r w:rsidR="000B0EEC">
        <w:rPr>
          <w:sz w:val="24"/>
          <w:szCs w:val="24"/>
        </w:rPr>
        <w:t xml:space="preserve"> más</w:t>
      </w:r>
      <w:r>
        <w:rPr>
          <w:sz w:val="24"/>
          <w:szCs w:val="24"/>
        </w:rPr>
        <w:t xml:space="preserve"> relevantes para este estudio</w:t>
      </w:r>
      <w:r w:rsidR="000B0EEC">
        <w:rPr>
          <w:sz w:val="24"/>
          <w:szCs w:val="24"/>
        </w:rPr>
        <w:t>,</w:t>
      </w:r>
      <w:r>
        <w:rPr>
          <w:sz w:val="24"/>
          <w:szCs w:val="24"/>
        </w:rPr>
        <w:t xml:space="preserve"> </w:t>
      </w:r>
      <w:r w:rsidRPr="00441DE9">
        <w:rPr>
          <w:sz w:val="24"/>
          <w:szCs w:val="24"/>
          <w:lang w:val="en-US"/>
        </w:rPr>
        <w:t>Ganster, D. C., &amp; Perrewé, P. L. (2011</w:t>
      </w:r>
      <w:r>
        <w:rPr>
          <w:sz w:val="24"/>
          <w:szCs w:val="24"/>
          <w:lang w:val="en-US"/>
        </w:rPr>
        <w:t xml:space="preserve">) explican que en la teoría </w:t>
      </w:r>
      <w:r w:rsidRPr="00441DE9">
        <w:rPr>
          <w:sz w:val="24"/>
          <w:szCs w:val="24"/>
        </w:rPr>
        <w:t>del ajuste de PE</w:t>
      </w:r>
      <w:r>
        <w:rPr>
          <w:sz w:val="24"/>
          <w:szCs w:val="24"/>
        </w:rPr>
        <w:t xml:space="preserve"> (Persona – entorno) cuyas bases fueron desarrolladas por </w:t>
      </w:r>
      <w:r w:rsidRPr="009C46DE">
        <w:rPr>
          <w:sz w:val="24"/>
          <w:szCs w:val="24"/>
        </w:rPr>
        <w:t xml:space="preserve">Lewin (1935) y Murray (1938) </w:t>
      </w:r>
      <w:r w:rsidRPr="00441DE9">
        <w:rPr>
          <w:sz w:val="24"/>
          <w:szCs w:val="24"/>
        </w:rPr>
        <w:t xml:space="preserve"> abordó el fenómeno del estrés en el lugar de trabajo,</w:t>
      </w:r>
      <w:r>
        <w:rPr>
          <w:sz w:val="24"/>
          <w:szCs w:val="24"/>
        </w:rPr>
        <w:t xml:space="preserve"> esta</w:t>
      </w:r>
      <w:r w:rsidRPr="00441DE9">
        <w:rPr>
          <w:sz w:val="24"/>
          <w:szCs w:val="24"/>
        </w:rPr>
        <w:t xml:space="preserve"> teoría en sí no especifica </w:t>
      </w:r>
      <w:r>
        <w:rPr>
          <w:sz w:val="24"/>
          <w:szCs w:val="24"/>
        </w:rPr>
        <w:t>de manera clara y suficiente</w:t>
      </w:r>
      <w:r w:rsidRPr="00441DE9">
        <w:rPr>
          <w:sz w:val="24"/>
          <w:szCs w:val="24"/>
        </w:rPr>
        <w:t xml:space="preserve"> los componentes de la persona</w:t>
      </w:r>
      <w:r>
        <w:rPr>
          <w:sz w:val="24"/>
          <w:szCs w:val="24"/>
        </w:rPr>
        <w:t xml:space="preserve"> </w:t>
      </w:r>
      <w:r w:rsidRPr="00441DE9">
        <w:rPr>
          <w:sz w:val="24"/>
          <w:szCs w:val="24"/>
        </w:rPr>
        <w:t>y el ambiente laboral</w:t>
      </w:r>
      <w:r>
        <w:rPr>
          <w:sz w:val="24"/>
          <w:szCs w:val="24"/>
        </w:rPr>
        <w:t>, más importantes para tener en cuenta tanto la comprensión del estrés laboral como su prevención e intervención. E</w:t>
      </w:r>
      <w:r w:rsidRPr="009C46DE">
        <w:rPr>
          <w:sz w:val="24"/>
          <w:szCs w:val="24"/>
        </w:rPr>
        <w:t>xisten limitaciones, incluida la relevancia relativa del ajuste percibido versus el ajuste real</w:t>
      </w:r>
      <w:r>
        <w:rPr>
          <w:sz w:val="24"/>
          <w:szCs w:val="24"/>
        </w:rPr>
        <w:t>.</w:t>
      </w:r>
    </w:p>
    <w:p w14:paraId="40D8C651" w14:textId="4F2F3BA5" w:rsidR="004334ED" w:rsidRPr="00255D30" w:rsidRDefault="000B0EEC" w:rsidP="004334ED">
      <w:pPr>
        <w:autoSpaceDE w:val="0"/>
        <w:autoSpaceDN w:val="0"/>
        <w:adjustRightInd w:val="0"/>
        <w:spacing w:after="0" w:line="240" w:lineRule="auto"/>
        <w:rPr>
          <w:rFonts w:cstheme="minorHAnsi"/>
          <w:color w:val="000000"/>
          <w:sz w:val="24"/>
          <w:szCs w:val="24"/>
        </w:rPr>
      </w:pPr>
      <w:r>
        <w:rPr>
          <w:sz w:val="24"/>
          <w:szCs w:val="24"/>
        </w:rPr>
        <w:t xml:space="preserve">      </w:t>
      </w:r>
      <w:r w:rsidR="004334ED">
        <w:rPr>
          <w:sz w:val="24"/>
          <w:szCs w:val="24"/>
        </w:rPr>
        <w:t xml:space="preserve">Respecto a la teoría de diseño del trabajo desde demandas laborales, control y apoyo desarrollado inicialmente </w:t>
      </w:r>
      <w:r w:rsidR="004334ED" w:rsidRPr="00423972">
        <w:rPr>
          <w:sz w:val="24"/>
          <w:szCs w:val="24"/>
        </w:rPr>
        <w:t>por Karasek (1979) y ampliado por Karasek y Theorell</w:t>
      </w:r>
      <w:r w:rsidR="004334ED">
        <w:rPr>
          <w:sz w:val="24"/>
          <w:szCs w:val="24"/>
        </w:rPr>
        <w:t xml:space="preserve"> </w:t>
      </w:r>
      <w:r w:rsidR="004334ED" w:rsidRPr="00423972">
        <w:rPr>
          <w:sz w:val="24"/>
          <w:szCs w:val="24"/>
        </w:rPr>
        <w:t xml:space="preserve">(1990). </w:t>
      </w:r>
      <w:r w:rsidR="004334ED">
        <w:rPr>
          <w:sz w:val="24"/>
          <w:szCs w:val="24"/>
        </w:rPr>
        <w:t xml:space="preserve"> En el estudio de </w:t>
      </w:r>
      <w:r w:rsidR="004334ED" w:rsidRPr="00D77381">
        <w:rPr>
          <w:sz w:val="24"/>
          <w:szCs w:val="24"/>
        </w:rPr>
        <w:t xml:space="preserve">Rydstedt, Ferrie y Head, </w:t>
      </w:r>
      <w:r w:rsidR="004334ED">
        <w:rPr>
          <w:sz w:val="24"/>
          <w:szCs w:val="24"/>
        </w:rPr>
        <w:t>(</w:t>
      </w:r>
      <w:r w:rsidR="004334ED" w:rsidRPr="00D77381">
        <w:rPr>
          <w:sz w:val="24"/>
          <w:szCs w:val="24"/>
        </w:rPr>
        <w:t>2006)</w:t>
      </w:r>
      <w:r w:rsidR="004334ED">
        <w:rPr>
          <w:sz w:val="24"/>
          <w:szCs w:val="24"/>
        </w:rPr>
        <w:t>, se encuentra que e</w:t>
      </w:r>
      <w:r w:rsidR="004334ED" w:rsidRPr="00D77381">
        <w:rPr>
          <w:sz w:val="24"/>
          <w:szCs w:val="24"/>
        </w:rPr>
        <w:t xml:space="preserve">l rediseño del lugar de trabajo para reducir el estrés </w:t>
      </w:r>
      <w:r>
        <w:rPr>
          <w:sz w:val="24"/>
          <w:szCs w:val="24"/>
        </w:rPr>
        <w:t>laboral</w:t>
      </w:r>
      <w:r w:rsidR="004334ED">
        <w:rPr>
          <w:sz w:val="24"/>
          <w:szCs w:val="24"/>
        </w:rPr>
        <w:t xml:space="preserve"> debe </w:t>
      </w:r>
      <w:r>
        <w:rPr>
          <w:sz w:val="24"/>
          <w:szCs w:val="24"/>
        </w:rPr>
        <w:t xml:space="preserve">incluir </w:t>
      </w:r>
      <w:r w:rsidRPr="00D77381">
        <w:rPr>
          <w:sz w:val="24"/>
          <w:szCs w:val="24"/>
        </w:rPr>
        <w:t>a</w:t>
      </w:r>
      <w:r w:rsidR="004334ED" w:rsidRPr="00D77381">
        <w:rPr>
          <w:sz w:val="24"/>
          <w:szCs w:val="24"/>
        </w:rPr>
        <w:t xml:space="preserve"> todos los empleados,</w:t>
      </w:r>
      <w:r w:rsidR="004334ED">
        <w:rPr>
          <w:sz w:val="24"/>
          <w:szCs w:val="24"/>
        </w:rPr>
        <w:t xml:space="preserve"> no solamente a algunos con determinadas características, sin </w:t>
      </w:r>
      <w:r>
        <w:rPr>
          <w:sz w:val="24"/>
          <w:szCs w:val="24"/>
        </w:rPr>
        <w:t xml:space="preserve">embargo, </w:t>
      </w:r>
      <w:r w:rsidRPr="00D77381">
        <w:rPr>
          <w:sz w:val="24"/>
          <w:szCs w:val="24"/>
        </w:rPr>
        <w:t>este</w:t>
      </w:r>
      <w:r w:rsidR="004334ED">
        <w:rPr>
          <w:sz w:val="24"/>
          <w:szCs w:val="24"/>
        </w:rPr>
        <w:t xml:space="preserve"> aspecto no se aclara y no se especifica que elementos mínimos deben incluirse en el rediseño del lugar de trabajo para reducir el estrés laboral. Respecto a este modelo </w:t>
      </w:r>
      <w:r w:rsidR="004334ED" w:rsidRPr="00255D30">
        <w:rPr>
          <w:sz w:val="24"/>
          <w:szCs w:val="24"/>
        </w:rPr>
        <w:t>Dewe, P.J., O’Driscoll, M.P., Cooper, C.L. (2012)</w:t>
      </w:r>
      <w:r w:rsidR="004334ED">
        <w:rPr>
          <w:sz w:val="24"/>
          <w:szCs w:val="24"/>
        </w:rPr>
        <w:t>, consideran que q</w:t>
      </w:r>
      <w:r w:rsidR="004334ED" w:rsidRPr="00255D30">
        <w:rPr>
          <w:sz w:val="24"/>
          <w:szCs w:val="24"/>
        </w:rPr>
        <w:t xml:space="preserve">uedaron varias cuestiones sin resolver con respecto a este modelo. Una de ellas es si los efectos de las demandas y el control son aditivos o multiplicativos, es decir, </w:t>
      </w:r>
      <w:r>
        <w:rPr>
          <w:sz w:val="24"/>
          <w:szCs w:val="24"/>
        </w:rPr>
        <w:t xml:space="preserve">saber si </w:t>
      </w:r>
      <w:r w:rsidR="004334ED" w:rsidRPr="00255D30">
        <w:rPr>
          <w:sz w:val="24"/>
          <w:szCs w:val="24"/>
        </w:rPr>
        <w:t>hay un efecto de interacción entre ellos.</w:t>
      </w:r>
      <w:r w:rsidR="004334ED">
        <w:rPr>
          <w:sz w:val="24"/>
          <w:szCs w:val="24"/>
        </w:rPr>
        <w:t xml:space="preserve"> Los mismos autores, mencionan que </w:t>
      </w:r>
      <w:r w:rsidR="004334ED">
        <w:rPr>
          <w:rFonts w:cstheme="minorHAnsi"/>
          <w:color w:val="000000"/>
          <w:sz w:val="24"/>
          <w:szCs w:val="24"/>
        </w:rPr>
        <w:t>e</w:t>
      </w:r>
      <w:r w:rsidR="004334ED" w:rsidRPr="00255D30">
        <w:rPr>
          <w:rFonts w:cstheme="minorHAnsi"/>
          <w:color w:val="000000"/>
          <w:sz w:val="24"/>
          <w:szCs w:val="24"/>
        </w:rPr>
        <w:t xml:space="preserve">l apoyo social </w:t>
      </w:r>
      <w:r w:rsidR="004334ED">
        <w:rPr>
          <w:rFonts w:cstheme="minorHAnsi"/>
          <w:color w:val="000000"/>
          <w:sz w:val="24"/>
          <w:szCs w:val="24"/>
        </w:rPr>
        <w:t>es un elemento clave en este</w:t>
      </w:r>
      <w:r w:rsidR="004334ED" w:rsidRPr="00255D30">
        <w:rPr>
          <w:rFonts w:cstheme="minorHAnsi"/>
          <w:color w:val="000000"/>
          <w:sz w:val="24"/>
          <w:szCs w:val="24"/>
        </w:rPr>
        <w:t xml:space="preserve"> modelo </w:t>
      </w:r>
      <w:r w:rsidR="004334ED">
        <w:rPr>
          <w:rFonts w:cstheme="minorHAnsi"/>
          <w:color w:val="000000"/>
          <w:sz w:val="24"/>
          <w:szCs w:val="24"/>
        </w:rPr>
        <w:t>y que está basado</w:t>
      </w:r>
      <w:r w:rsidR="004334ED" w:rsidRPr="00255D30">
        <w:rPr>
          <w:rFonts w:cstheme="minorHAnsi"/>
          <w:color w:val="000000"/>
          <w:sz w:val="24"/>
          <w:szCs w:val="24"/>
        </w:rPr>
        <w:t xml:space="preserve"> en amplia evidencia de que esta variable puede desempeñar un papel sustancial</w:t>
      </w:r>
      <w:r w:rsidR="004334ED">
        <w:rPr>
          <w:rFonts w:cstheme="minorHAnsi"/>
          <w:color w:val="000000"/>
          <w:sz w:val="24"/>
          <w:szCs w:val="24"/>
        </w:rPr>
        <w:t xml:space="preserve">, al respecto citan el estudio de </w:t>
      </w:r>
      <w:r w:rsidR="004334ED" w:rsidRPr="00255D30">
        <w:rPr>
          <w:rFonts w:cstheme="minorHAnsi"/>
          <w:color w:val="000000"/>
          <w:sz w:val="24"/>
          <w:szCs w:val="24"/>
        </w:rPr>
        <w:t>Cooper et al.,</w:t>
      </w:r>
      <w:r>
        <w:rPr>
          <w:rFonts w:cstheme="minorHAnsi"/>
          <w:color w:val="000000"/>
          <w:sz w:val="24"/>
          <w:szCs w:val="24"/>
        </w:rPr>
        <w:t xml:space="preserve"> (2001)</w:t>
      </w:r>
      <w:r w:rsidR="004334ED" w:rsidRPr="00255D30">
        <w:rPr>
          <w:rFonts w:cstheme="minorHAnsi"/>
          <w:color w:val="000000"/>
          <w:sz w:val="24"/>
          <w:szCs w:val="24"/>
        </w:rPr>
        <w:t xml:space="preserve">,  en el cual se encuentra un rol clave del apoyo social </w:t>
      </w:r>
      <w:r>
        <w:rPr>
          <w:rFonts w:cstheme="minorHAnsi"/>
          <w:color w:val="000000"/>
          <w:sz w:val="24"/>
          <w:szCs w:val="24"/>
        </w:rPr>
        <w:t>para el</w:t>
      </w:r>
      <w:r w:rsidR="004334ED" w:rsidRPr="00255D30">
        <w:rPr>
          <w:rFonts w:cstheme="minorHAnsi"/>
          <w:color w:val="000000"/>
          <w:sz w:val="24"/>
          <w:szCs w:val="24"/>
        </w:rPr>
        <w:t xml:space="preserve"> alivio del estrés en los trabajadores</w:t>
      </w:r>
      <w:r w:rsidR="004334ED">
        <w:rPr>
          <w:rFonts w:cstheme="minorHAnsi"/>
          <w:color w:val="000000"/>
          <w:sz w:val="24"/>
          <w:szCs w:val="24"/>
        </w:rPr>
        <w:t>, pero aclaran que ha habido</w:t>
      </w:r>
      <w:r w:rsidR="004334ED" w:rsidRPr="00255D30">
        <w:rPr>
          <w:rFonts w:cstheme="minorHAnsi"/>
          <w:color w:val="000000"/>
          <w:sz w:val="24"/>
          <w:szCs w:val="24"/>
        </w:rPr>
        <w:t xml:space="preserve"> un debate considerable sobre si su impacto es directo (es decir, un mayor apoyo</w:t>
      </w:r>
      <w:r w:rsidR="004334ED">
        <w:rPr>
          <w:rFonts w:cstheme="minorHAnsi"/>
          <w:color w:val="000000"/>
          <w:sz w:val="24"/>
          <w:szCs w:val="24"/>
        </w:rPr>
        <w:t xml:space="preserve"> social</w:t>
      </w:r>
      <w:r w:rsidR="004334ED" w:rsidRPr="00255D30">
        <w:rPr>
          <w:rFonts w:cstheme="minorHAnsi"/>
          <w:color w:val="000000"/>
          <w:sz w:val="24"/>
          <w:szCs w:val="24"/>
        </w:rPr>
        <w:t xml:space="preserve"> está directamente asociado con una menor tensión) o indirecto (es decir, el apoyo</w:t>
      </w:r>
      <w:r w:rsidR="004334ED">
        <w:rPr>
          <w:rFonts w:cstheme="minorHAnsi"/>
          <w:color w:val="000000"/>
          <w:sz w:val="24"/>
          <w:szCs w:val="24"/>
        </w:rPr>
        <w:t xml:space="preserve"> social</w:t>
      </w:r>
      <w:r w:rsidR="004334ED" w:rsidRPr="00255D30">
        <w:rPr>
          <w:rFonts w:cstheme="minorHAnsi"/>
          <w:color w:val="000000"/>
          <w:sz w:val="24"/>
          <w:szCs w:val="24"/>
        </w:rPr>
        <w:t xml:space="preserve"> amortiguará el impacto de los factores estresantes sobre la tensión). </w:t>
      </w:r>
    </w:p>
    <w:p w14:paraId="573CF827" w14:textId="77777777" w:rsidR="004334ED" w:rsidRDefault="004334ED" w:rsidP="004334ED">
      <w:pPr>
        <w:rPr>
          <w:sz w:val="24"/>
          <w:szCs w:val="24"/>
        </w:rPr>
      </w:pPr>
    </w:p>
    <w:p w14:paraId="5908CB21" w14:textId="2D9A1889" w:rsidR="004334ED" w:rsidRDefault="000B0EEC" w:rsidP="004334ED">
      <w:pPr>
        <w:rPr>
          <w:sz w:val="24"/>
          <w:szCs w:val="24"/>
        </w:rPr>
      </w:pPr>
      <w:r>
        <w:rPr>
          <w:sz w:val="24"/>
          <w:szCs w:val="24"/>
        </w:rPr>
        <w:t xml:space="preserve">      </w:t>
      </w:r>
      <w:r w:rsidR="004334ED">
        <w:rPr>
          <w:sz w:val="24"/>
          <w:szCs w:val="24"/>
        </w:rPr>
        <w:t xml:space="preserve">De otra </w:t>
      </w:r>
      <w:proofErr w:type="gramStart"/>
      <w:r w:rsidR="004334ED">
        <w:rPr>
          <w:sz w:val="24"/>
          <w:szCs w:val="24"/>
        </w:rPr>
        <w:t>parte</w:t>
      </w:r>
      <w:proofErr w:type="gramEnd"/>
      <w:r w:rsidR="004334ED">
        <w:rPr>
          <w:sz w:val="24"/>
          <w:szCs w:val="24"/>
        </w:rPr>
        <w:t xml:space="preserve"> </w:t>
      </w:r>
      <w:r>
        <w:rPr>
          <w:sz w:val="24"/>
          <w:szCs w:val="24"/>
        </w:rPr>
        <w:t>en la</w:t>
      </w:r>
      <w:r w:rsidR="004334ED">
        <w:rPr>
          <w:sz w:val="24"/>
          <w:szCs w:val="24"/>
        </w:rPr>
        <w:t xml:space="preserve"> teoría del estrés laboral, denominada Teoría de la Conservación de los Recursos (COR) desarrollada por </w:t>
      </w:r>
      <w:r w:rsidR="004334ED" w:rsidRPr="00CC4840">
        <w:rPr>
          <w:sz w:val="24"/>
          <w:szCs w:val="24"/>
        </w:rPr>
        <w:t>Hobfoll (1989)</w:t>
      </w:r>
      <w:r w:rsidR="004334ED">
        <w:rPr>
          <w:sz w:val="24"/>
          <w:szCs w:val="24"/>
        </w:rPr>
        <w:t xml:space="preserve">,  </w:t>
      </w:r>
      <w:r w:rsidR="004334ED" w:rsidRPr="006932A1">
        <w:rPr>
          <w:lang w:val="en-US"/>
        </w:rPr>
        <w:t xml:space="preserve">Dewe, P.J., O’Driscoll, M.P., Cooper, C.L. (2012). </w:t>
      </w:r>
      <w:r w:rsidR="004334ED">
        <w:rPr>
          <w:sz w:val="24"/>
          <w:szCs w:val="24"/>
          <w:lang w:val="en-US"/>
        </w:rPr>
        <w:t>encuentran que aunque esta teoría tiene una buena base empírica</w:t>
      </w:r>
      <w:r w:rsidR="004334ED">
        <w:rPr>
          <w:sz w:val="24"/>
          <w:szCs w:val="24"/>
        </w:rPr>
        <w:t xml:space="preserve"> y aunque g</w:t>
      </w:r>
      <w:r w:rsidR="004334ED" w:rsidRPr="00CC4840">
        <w:rPr>
          <w:sz w:val="24"/>
          <w:szCs w:val="24"/>
        </w:rPr>
        <w:t>ran parte de la investigación estimulada por los principios de la teoría COR demuestra relaciones</w:t>
      </w:r>
      <w:r w:rsidR="004334ED">
        <w:rPr>
          <w:sz w:val="24"/>
          <w:szCs w:val="24"/>
        </w:rPr>
        <w:t xml:space="preserve"> </w:t>
      </w:r>
      <w:r w:rsidR="004334ED" w:rsidRPr="00CC4840">
        <w:rPr>
          <w:sz w:val="24"/>
          <w:szCs w:val="24"/>
        </w:rPr>
        <w:t>entre los resultados de la tensión y las diversas demandas</w:t>
      </w:r>
      <w:r w:rsidR="004334ED">
        <w:rPr>
          <w:sz w:val="24"/>
          <w:szCs w:val="24"/>
        </w:rPr>
        <w:t xml:space="preserve"> del trabajo</w:t>
      </w:r>
      <w:r w:rsidR="004334ED" w:rsidRPr="00CC4840">
        <w:rPr>
          <w:sz w:val="24"/>
          <w:szCs w:val="24"/>
        </w:rPr>
        <w:t xml:space="preserve">, </w:t>
      </w:r>
      <w:r w:rsidR="004334ED">
        <w:rPr>
          <w:sz w:val="24"/>
          <w:szCs w:val="24"/>
        </w:rPr>
        <w:t>no se especifican</w:t>
      </w:r>
      <w:r>
        <w:rPr>
          <w:sz w:val="24"/>
          <w:szCs w:val="24"/>
        </w:rPr>
        <w:t>, ni aclaran</w:t>
      </w:r>
      <w:r w:rsidR="004334ED">
        <w:rPr>
          <w:sz w:val="24"/>
          <w:szCs w:val="24"/>
        </w:rPr>
        <w:t xml:space="preserve"> dichas relaciones. </w:t>
      </w:r>
    </w:p>
    <w:p w14:paraId="41659E75" w14:textId="77777777" w:rsidR="004334ED" w:rsidRDefault="004334ED" w:rsidP="004334ED">
      <w:pPr>
        <w:rPr>
          <w:sz w:val="24"/>
          <w:szCs w:val="24"/>
        </w:rPr>
      </w:pPr>
    </w:p>
    <w:p w14:paraId="727CD6CD" w14:textId="15CE80BA" w:rsidR="004334ED" w:rsidRDefault="000B0EEC" w:rsidP="004334ED">
      <w:pPr>
        <w:rPr>
          <w:sz w:val="24"/>
          <w:szCs w:val="24"/>
        </w:rPr>
      </w:pPr>
      <w:r>
        <w:rPr>
          <w:sz w:val="24"/>
          <w:szCs w:val="24"/>
        </w:rPr>
        <w:t xml:space="preserve">      </w:t>
      </w:r>
      <w:r w:rsidR="004334ED" w:rsidRPr="00A00525">
        <w:rPr>
          <w:sz w:val="24"/>
          <w:szCs w:val="24"/>
        </w:rPr>
        <w:t>Dewe, P.J., O’Driscoll, M.P., Cooper, C.L. (2012)</w:t>
      </w:r>
      <w:r w:rsidR="004334ED">
        <w:rPr>
          <w:sz w:val="24"/>
          <w:szCs w:val="24"/>
        </w:rPr>
        <w:t xml:space="preserve">, discuten un punto clave del Modelo Transaccional de Lázarus (1982), en cuanto a la clasificación dada sobre afrontamiento, ya que este en realidad depende el contexto y de la evaluación que el individuo hace del mismo, por lo tanto es clave centrarse mejor en la forma y momento de utilizar las diferentes estrategias de afrontamiento, por encima de su clasificación,  aunque  se recomienda incluir entre otras, </w:t>
      </w:r>
      <w:r w:rsidR="004334ED" w:rsidRPr="00A00525">
        <w:rPr>
          <w:sz w:val="24"/>
          <w:szCs w:val="24"/>
        </w:rPr>
        <w:t>estrategias que incluyan el afrontamiento centrado en el significado y el afrontamiento relacional-social (Folkman,2011)</w:t>
      </w:r>
      <w:r w:rsidR="004334ED">
        <w:rPr>
          <w:sz w:val="24"/>
          <w:szCs w:val="24"/>
        </w:rPr>
        <w:t xml:space="preserve">. De otra parte, </w:t>
      </w:r>
      <w:r w:rsidR="004334ED" w:rsidRPr="00CC4840">
        <w:rPr>
          <w:sz w:val="24"/>
          <w:szCs w:val="24"/>
        </w:rPr>
        <w:t>Hobfoll (</w:t>
      </w:r>
      <w:r w:rsidR="004334ED">
        <w:rPr>
          <w:sz w:val="24"/>
          <w:szCs w:val="24"/>
        </w:rPr>
        <w:t>2001</w:t>
      </w:r>
      <w:r w:rsidR="004334ED" w:rsidRPr="00CC4840">
        <w:rPr>
          <w:sz w:val="24"/>
          <w:szCs w:val="24"/>
        </w:rPr>
        <w:t>)</w:t>
      </w:r>
      <w:r w:rsidR="004334ED">
        <w:rPr>
          <w:sz w:val="24"/>
          <w:szCs w:val="24"/>
        </w:rPr>
        <w:t xml:space="preserve">, </w:t>
      </w:r>
      <w:r w:rsidR="004334ED" w:rsidRPr="00BF27FB">
        <w:rPr>
          <w:sz w:val="24"/>
          <w:szCs w:val="24"/>
        </w:rPr>
        <w:t>afirma</w:t>
      </w:r>
      <w:r w:rsidR="004334ED">
        <w:rPr>
          <w:sz w:val="24"/>
          <w:szCs w:val="24"/>
        </w:rPr>
        <w:t xml:space="preserve"> </w:t>
      </w:r>
      <w:r w:rsidR="004334ED" w:rsidRPr="00BF27FB">
        <w:rPr>
          <w:sz w:val="24"/>
          <w:szCs w:val="24"/>
        </w:rPr>
        <w:t xml:space="preserve">que el modelo transaccional </w:t>
      </w:r>
      <w:r w:rsidR="004334ED">
        <w:rPr>
          <w:sz w:val="24"/>
          <w:szCs w:val="24"/>
        </w:rPr>
        <w:t>hace demasiado énfasis en</w:t>
      </w:r>
      <w:r w:rsidR="004334ED" w:rsidRPr="00BF27FB">
        <w:rPr>
          <w:sz w:val="24"/>
          <w:szCs w:val="24"/>
        </w:rPr>
        <w:t xml:space="preserve"> el papel de los procesos cognitivos</w:t>
      </w:r>
      <w:r w:rsidR="004334ED">
        <w:rPr>
          <w:sz w:val="24"/>
          <w:szCs w:val="24"/>
        </w:rPr>
        <w:t>, dejando un poco de lado los factores</w:t>
      </w:r>
      <w:r w:rsidR="004334ED" w:rsidRPr="00BF27FB">
        <w:rPr>
          <w:sz w:val="24"/>
          <w:szCs w:val="24"/>
        </w:rPr>
        <w:t xml:space="preserve"> </w:t>
      </w:r>
      <w:r w:rsidR="004334ED">
        <w:rPr>
          <w:sz w:val="24"/>
          <w:szCs w:val="24"/>
        </w:rPr>
        <w:t>del</w:t>
      </w:r>
      <w:r w:rsidR="004334ED" w:rsidRPr="00BF27FB">
        <w:rPr>
          <w:sz w:val="24"/>
          <w:szCs w:val="24"/>
        </w:rPr>
        <w:t xml:space="preserve"> medio ambiente.</w:t>
      </w:r>
    </w:p>
    <w:p w14:paraId="1CCFE984" w14:textId="25D2B0A5" w:rsidR="004334ED" w:rsidRDefault="000B0EEC" w:rsidP="000B0EEC">
      <w:pPr>
        <w:spacing w:after="160" w:line="259" w:lineRule="auto"/>
        <w:rPr>
          <w:sz w:val="24"/>
          <w:szCs w:val="24"/>
        </w:rPr>
      </w:pPr>
      <w:r>
        <w:rPr>
          <w:sz w:val="24"/>
          <w:szCs w:val="24"/>
        </w:rPr>
        <w:t xml:space="preserve">      </w:t>
      </w:r>
      <w:r w:rsidR="004334ED" w:rsidRPr="000B0EEC">
        <w:rPr>
          <w:sz w:val="24"/>
          <w:szCs w:val="24"/>
        </w:rPr>
        <w:t xml:space="preserve">En las investigaciones sobre afrontamiento del estrés, las medidas deben dejar de basarse simplemente en listas de verificación (Folkman y Moskowitz,2004) , para explorar diseños longitudinales impulsados </w:t>
      </w:r>
      <w:r w:rsidR="004334ED" w:rsidRPr="000B0EEC">
        <w:rPr>
          <w:rFonts w:ascii="Arial" w:hAnsi="Arial" w:cs="Arial"/>
          <w:sz w:val="24"/>
          <w:szCs w:val="24"/>
        </w:rPr>
        <w:t>​​</w:t>
      </w:r>
      <w:r w:rsidR="004334ED" w:rsidRPr="000B0EEC">
        <w:rPr>
          <w:sz w:val="24"/>
          <w:szCs w:val="24"/>
        </w:rPr>
        <w:t>por procesos (Lazarus,2000) y métodos más ecológicos, con mediciones de procesamiento diario con un monitoreo permanente.</w:t>
      </w: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1F2A3D55" w14:textId="487B2AF4" w:rsidR="00B47828" w:rsidRDefault="003F1A2C" w:rsidP="00F559C5">
      <w:pPr>
        <w:rPr>
          <w:sz w:val="24"/>
          <w:szCs w:val="24"/>
        </w:rPr>
      </w:pPr>
      <w:r>
        <w:rPr>
          <w:sz w:val="24"/>
          <w:szCs w:val="24"/>
        </w:rPr>
        <w:t xml:space="preserve">      </w:t>
      </w:r>
      <w:r w:rsidR="00007AE5">
        <w:rPr>
          <w:sz w:val="24"/>
          <w:szCs w:val="24"/>
        </w:rPr>
        <w:t xml:space="preserve">Teniendo en cuenta los principales vacíos teóricos mostrados anteriormente, uno de los </w:t>
      </w:r>
      <w:r w:rsidR="00F559C5" w:rsidRPr="00F559C5">
        <w:rPr>
          <w:sz w:val="24"/>
          <w:szCs w:val="24"/>
        </w:rPr>
        <w:t>de este proyecto a la psicología radica en</w:t>
      </w:r>
      <w:r w:rsidR="00007AE5">
        <w:rPr>
          <w:sz w:val="24"/>
          <w:szCs w:val="24"/>
        </w:rPr>
        <w:t xml:space="preserve"> definir con mayor claridad y de forma concreta elementos del contexto organizacional que afectan positiva y negativamente la salud mental de los trabajadores</w:t>
      </w:r>
      <w:r w:rsidR="00F559C5" w:rsidRPr="00F559C5">
        <w:rPr>
          <w:sz w:val="24"/>
          <w:szCs w:val="24"/>
        </w:rPr>
        <w:t>,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r w:rsidR="00007AE5">
        <w:rPr>
          <w:sz w:val="24"/>
          <w:szCs w:val="24"/>
        </w:rPr>
        <w:t>.</w:t>
      </w:r>
    </w:p>
    <w:p w14:paraId="5151C229" w14:textId="77777777" w:rsidR="00EA62CD" w:rsidRDefault="00EA62CD" w:rsidP="00A00525">
      <w:pPr>
        <w:rPr>
          <w:sz w:val="24"/>
          <w:szCs w:val="24"/>
        </w:rPr>
      </w:pPr>
    </w:p>
    <w:p w14:paraId="00030B29" w14:textId="77777777" w:rsidR="00007AE5" w:rsidRDefault="00007AE5" w:rsidP="00A00525">
      <w:pPr>
        <w:rPr>
          <w:sz w:val="24"/>
          <w:szCs w:val="24"/>
        </w:rPr>
      </w:pPr>
    </w:p>
    <w:p w14:paraId="31CE5CF9" w14:textId="77777777" w:rsidR="00007AE5" w:rsidRPr="00CC4840" w:rsidRDefault="00007AE5" w:rsidP="00A00525">
      <w:pPr>
        <w:rPr>
          <w:sz w:val="24"/>
          <w:szCs w:val="24"/>
        </w:rPr>
      </w:pP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t xml:space="preserve">    </w:t>
      </w:r>
      <w:r w:rsidR="00F559C5" w:rsidRPr="00F559C5">
        <w:rPr>
          <w:sz w:val="24"/>
          <w:szCs w:val="24"/>
        </w:rPr>
        <w:t>En conclusión, la salud men</w:t>
      </w:r>
      <w:r w:rsidR="00F559C5">
        <w:rPr>
          <w:sz w:val="24"/>
          <w:szCs w:val="24"/>
        </w:rPr>
        <w:t>tal en las</w:t>
      </w:r>
      <w:r>
        <w:rPr>
          <w:sz w:val="24"/>
          <w:szCs w:val="24"/>
        </w:rPr>
        <w:t xml:space="preserve"> organizaciones,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t xml:space="preserve">    </w:t>
      </w:r>
      <w:r w:rsidR="00F559C5" w:rsidRPr="00F559C5">
        <w:rPr>
          <w:sz w:val="24"/>
          <w:szCs w:val="24"/>
        </w:rPr>
        <w:t>La integración de programas de prevención e intervención, como los que se proponen en este estudio, puede jugar un papel fundamental en la reducción del estrés y la 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para mejorar la salud 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7EC773A5" w14:textId="77777777" w:rsidR="00F559C5" w:rsidRPr="00F559C5" w:rsidRDefault="008117FB" w:rsidP="00F559C5">
      <w:pPr>
        <w:rPr>
          <w:sz w:val="24"/>
          <w:szCs w:val="24"/>
          <w:lang w:val="es-MX"/>
        </w:rPr>
      </w:pPr>
      <w:r>
        <w:rPr>
          <w:sz w:val="24"/>
          <w:szCs w:val="24"/>
          <w:lang w:val="es-MX"/>
        </w:rPr>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637790E7" w14:textId="77777777" w:rsidR="000B0EEC" w:rsidRDefault="000B0EEC" w:rsidP="00956C2D">
      <w:pPr>
        <w:jc w:val="center"/>
        <w:rPr>
          <w:sz w:val="28"/>
          <w:szCs w:val="28"/>
        </w:rPr>
      </w:pPr>
    </w:p>
    <w:p w14:paraId="5758D718" w14:textId="77777777" w:rsidR="000B0EEC" w:rsidRDefault="000B0EEC" w:rsidP="00956C2D">
      <w:pPr>
        <w:jc w:val="center"/>
        <w:rPr>
          <w:sz w:val="28"/>
          <w:szCs w:val="28"/>
        </w:rPr>
      </w:pPr>
    </w:p>
    <w:p w14:paraId="758EF81A" w14:textId="77777777" w:rsidR="000B0EEC" w:rsidRDefault="000B0EEC" w:rsidP="00956C2D">
      <w:pPr>
        <w:jc w:val="center"/>
        <w:rPr>
          <w:sz w:val="28"/>
          <w:szCs w:val="28"/>
        </w:rPr>
      </w:pPr>
    </w:p>
    <w:p w14:paraId="5D3B5EC5" w14:textId="77777777" w:rsidR="00C00420" w:rsidRDefault="00C00420" w:rsidP="00956C2D">
      <w:pPr>
        <w:jc w:val="center"/>
        <w:rPr>
          <w:sz w:val="28"/>
          <w:szCs w:val="28"/>
        </w:rPr>
      </w:pPr>
    </w:p>
    <w:p w14:paraId="49AF9870" w14:textId="08D0ECB8" w:rsidR="00C00420" w:rsidRDefault="00C00420" w:rsidP="00956C2D">
      <w:pPr>
        <w:jc w:val="center"/>
        <w:rPr>
          <w:sz w:val="28"/>
          <w:szCs w:val="28"/>
        </w:rPr>
      </w:pPr>
      <w:r w:rsidRPr="00F559C5">
        <w:rPr>
          <w:b/>
          <w:sz w:val="28"/>
          <w:szCs w:val="28"/>
        </w:rPr>
        <w:t xml:space="preserve">Referencias </w:t>
      </w:r>
      <w:r w:rsidR="00F559C5" w:rsidRPr="00F559C5">
        <w:rPr>
          <w:b/>
          <w:sz w:val="28"/>
          <w:szCs w:val="28"/>
        </w:rPr>
        <w:t>Bibliográficas</w:t>
      </w:r>
      <w:r w:rsidR="00F559C5">
        <w:rPr>
          <w:sz w:val="28"/>
          <w:szCs w:val="28"/>
        </w:rPr>
        <w:t xml:space="preserve"> </w:t>
      </w:r>
    </w:p>
    <w:p w14:paraId="7077D79A" w14:textId="77777777" w:rsidR="00F559C5" w:rsidRPr="000B0EEC" w:rsidRDefault="00F559C5" w:rsidP="00F559C5">
      <w:pPr>
        <w:pStyle w:val="Prrafodelista"/>
      </w:pPr>
      <w:r w:rsidRPr="000B0EEC">
        <w:rPr>
          <w:lang w:val="es-MX"/>
        </w:rPr>
        <w:t xml:space="preserve">Alvarado-Orgarazún, D,B. (2022).Malas prácticas organizacionales y sus efectos en la salud mental de los trabajadores. Ergonomía, Investigación y Desarrollo., 4(3), 89-98. </w:t>
      </w:r>
      <w:hyperlink r:id="rId5" w:history="1">
        <w:r w:rsidRPr="000B0EEC">
          <w:rPr>
            <w:rStyle w:val="Hipervnculo"/>
            <w:lang w:val="es-MX"/>
          </w:rPr>
          <w:t>https://doi.org/10.29393/EID4-26MPDA10026</w:t>
        </w:r>
      </w:hyperlink>
    </w:p>
    <w:p w14:paraId="409723C2" w14:textId="77777777" w:rsidR="00F559C5" w:rsidRPr="000B0EEC" w:rsidRDefault="00F559C5" w:rsidP="00F559C5">
      <w:pPr>
        <w:pStyle w:val="Prrafodelista"/>
      </w:pPr>
    </w:p>
    <w:p w14:paraId="0143AA37" w14:textId="77777777" w:rsidR="00F559C5" w:rsidRPr="000B0EEC" w:rsidRDefault="00F559C5" w:rsidP="00F559C5">
      <w:pPr>
        <w:pStyle w:val="Prrafodelista"/>
      </w:pPr>
      <w:r w:rsidRPr="000B0EEC">
        <w:rPr>
          <w:rFonts w:cstheme="minorHAnsi"/>
          <w:color w:val="1B1B1B"/>
          <w:kern w:val="0"/>
          <w:shd w:val="clear" w:color="auto" w:fill="FFFFFF"/>
          <w:lang w:val="en-US"/>
          <w14:ligatures w14:val="none"/>
        </w:rPr>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0B0EEC">
          <w:rPr>
            <w:rStyle w:val="Hipervnculo"/>
            <w:rFonts w:cstheme="minorHAnsi"/>
            <w:kern w:val="0"/>
            <w:shd w:val="clear" w:color="auto" w:fill="FFFFFF"/>
            <w:lang w:val="en-US"/>
            <w14:ligatures w14:val="none"/>
          </w:rPr>
          <w:t>https://doi.org/10.1097/JOM.0b013e3181ffo5b</w:t>
        </w:r>
      </w:hyperlink>
    </w:p>
    <w:p w14:paraId="53AC37CB" w14:textId="77777777" w:rsidR="00D808F0" w:rsidRPr="000B0EEC" w:rsidRDefault="00D808F0" w:rsidP="00F559C5">
      <w:pPr>
        <w:pStyle w:val="Prrafodelista"/>
        <w:rPr>
          <w:kern w:val="0"/>
          <w14:ligatures w14:val="none"/>
        </w:rPr>
      </w:pPr>
    </w:p>
    <w:p w14:paraId="0B9BB554" w14:textId="77777777" w:rsidR="00A00525" w:rsidRPr="000B0EEC" w:rsidRDefault="00D808F0" w:rsidP="00A00525">
      <w:pPr>
        <w:pStyle w:val="Prrafodelista"/>
      </w:pPr>
      <w:r w:rsidRPr="000B0EEC">
        <w:rPr>
          <w:kern w:val="0"/>
          <w14:ligatures w14:val="none"/>
        </w:rPr>
        <w:t xml:space="preserve">Dejours, </w:t>
      </w:r>
      <w:proofErr w:type="gramStart"/>
      <w:r w:rsidRPr="000B0EEC">
        <w:rPr>
          <w:kern w:val="0"/>
          <w14:ligatures w14:val="none"/>
        </w:rPr>
        <w:t>C,.</w:t>
      </w:r>
      <w:proofErr w:type="gramEnd"/>
      <w:r w:rsidRPr="000B0EEC">
        <w:rPr>
          <w:kern w:val="0"/>
          <w14:ligatures w14:val="none"/>
        </w:rPr>
        <w:t xml:space="preserve"> (2011) «Texto Introductorio : Psicopatología del trabajo – Psicodinámica del Trabajo», Laboreal [Online], Volume 7 Nº1 | 2011, posto online no dia 01 julho 2011, consultado o 16 março 2025. URL: http://journals.openedition.org/laboreal/8030; DOI: </w:t>
      </w:r>
      <w:hyperlink r:id="rId7" w:history="1">
        <w:r w:rsidRPr="000B0EEC">
          <w:rPr>
            <w:rStyle w:val="Hipervnculo"/>
            <w:kern w:val="0"/>
            <w14:ligatures w14:val="none"/>
          </w:rPr>
          <w:t>https://doi.org/10.4000/laboreal.8030</w:t>
        </w:r>
      </w:hyperlink>
    </w:p>
    <w:p w14:paraId="4FEF9165" w14:textId="77777777" w:rsidR="00A00525" w:rsidRPr="000B0EEC" w:rsidRDefault="00A00525" w:rsidP="00A00525">
      <w:pPr>
        <w:pStyle w:val="Prrafodelista"/>
      </w:pPr>
    </w:p>
    <w:p w14:paraId="300A57C1" w14:textId="6F880332" w:rsidR="00A00525" w:rsidRPr="000B0EEC" w:rsidRDefault="00A00525" w:rsidP="00A00525">
      <w:pPr>
        <w:pStyle w:val="Prrafodelista"/>
        <w:rPr>
          <w:kern w:val="0"/>
          <w14:ligatures w14:val="none"/>
        </w:rPr>
      </w:pPr>
      <w:r w:rsidRPr="000B0EEC">
        <w:rPr>
          <w:lang w:val="en-US"/>
        </w:rPr>
        <w:t xml:space="preserve">Dewe, P.J., O’Driscoll, M.P., Cooper, C.L. (2012). Theories of Psychological Stress at Work. In: Gatchel, R., Schultz, I. (eds) Handbook of Occupational Health and Wellness. Handbooks in Health, Work, and Disability. Springer, Boston, MA. </w:t>
      </w:r>
      <w:hyperlink r:id="rId8" w:history="1">
        <w:r w:rsidRPr="000B0EEC">
          <w:rPr>
            <w:rStyle w:val="Hipervnculo"/>
            <w:lang w:val="en-US"/>
          </w:rPr>
          <w:t>https://doi.org/10.1007/978-1-4614-4839-6_2</w:t>
        </w:r>
      </w:hyperlink>
    </w:p>
    <w:p w14:paraId="73E9F05A" w14:textId="77777777" w:rsidR="00A00525" w:rsidRPr="000B0EEC" w:rsidRDefault="00A00525" w:rsidP="00F559C5">
      <w:pPr>
        <w:pStyle w:val="Prrafodelista"/>
        <w:rPr>
          <w:kern w:val="0"/>
          <w14:ligatures w14:val="none"/>
        </w:rPr>
      </w:pPr>
    </w:p>
    <w:p w14:paraId="1BE5A034" w14:textId="77777777" w:rsidR="00F559C5" w:rsidRPr="000B0EEC" w:rsidRDefault="00F559C5" w:rsidP="00F559C5">
      <w:pPr>
        <w:pStyle w:val="Prrafodelista"/>
        <w:rPr>
          <w:lang w:val="en-US"/>
        </w:rPr>
      </w:pPr>
    </w:p>
    <w:p w14:paraId="533FA26A" w14:textId="77777777" w:rsidR="00F559C5" w:rsidRPr="000B0EEC" w:rsidRDefault="00F559C5" w:rsidP="00F559C5">
      <w:pPr>
        <w:pStyle w:val="Prrafodelista"/>
        <w:rPr>
          <w:lang w:val="en-US"/>
        </w:rPr>
      </w:pPr>
      <w:r w:rsidRPr="000B0EEC">
        <w:rPr>
          <w:lang w:val="en-US"/>
        </w:rPr>
        <w:t xml:space="preserve">Dimoff, J. K., &amp; Kelloway, E. K. (2019). With a little help from my boss: The impact of workplace mental health training on leader behaviors and employee resource utilization. Journal of occupational health psychology, 24(1), 4–19. </w:t>
      </w:r>
      <w:hyperlink r:id="rId9" w:history="1">
        <w:r w:rsidRPr="000B0EEC">
          <w:rPr>
            <w:rStyle w:val="Hipervnculo"/>
            <w:lang w:val="en-US"/>
          </w:rPr>
          <w:t>https://doi.org/10.1037/ocp0000126</w:t>
        </w:r>
      </w:hyperlink>
    </w:p>
    <w:p w14:paraId="4B469256" w14:textId="77777777" w:rsidR="00F559C5" w:rsidRPr="000B0EEC" w:rsidRDefault="00F559C5" w:rsidP="00F559C5">
      <w:pPr>
        <w:pStyle w:val="Prrafodelista"/>
        <w:rPr>
          <w:lang w:val="en-US"/>
        </w:rPr>
      </w:pPr>
    </w:p>
    <w:p w14:paraId="3E5DD26B" w14:textId="77777777" w:rsidR="00D77381" w:rsidRPr="000B0EEC" w:rsidRDefault="00AD05D0" w:rsidP="00D77381">
      <w:pPr>
        <w:pStyle w:val="Prrafodelista"/>
      </w:pPr>
      <w:r w:rsidRPr="000B0EEC">
        <w:rPr>
          <w:lang w:val="en-US"/>
        </w:rPr>
        <w:t xml:space="preserve">Dobson, K. S., Szeto, A., &amp; Knaak, S. (2019). The Working Mind: A Meta-Analysis of a Workplace Mental Health and Stigma Reduction Program. Canadian journal of psychiatry. Revue canadienne de psychiatrie, 64(1_suppl), 39S–47S. </w:t>
      </w:r>
      <w:hyperlink r:id="rId10" w:history="1">
        <w:r w:rsidRPr="000B0EEC">
          <w:rPr>
            <w:rStyle w:val="Hipervnculo"/>
            <w:lang w:val="en-US"/>
          </w:rPr>
          <w:t>https://doi.org/10.1177/0706743719842559</w:t>
        </w:r>
      </w:hyperlink>
    </w:p>
    <w:p w14:paraId="5A42AE99" w14:textId="77777777" w:rsidR="009C46DE" w:rsidRPr="000B0EEC" w:rsidRDefault="009C46DE" w:rsidP="00D77381">
      <w:pPr>
        <w:pStyle w:val="Prrafodelista"/>
      </w:pPr>
    </w:p>
    <w:p w14:paraId="35D7F778" w14:textId="042BA91F" w:rsidR="009C46DE" w:rsidRPr="000B0EEC" w:rsidRDefault="009C46DE" w:rsidP="00D77381">
      <w:pPr>
        <w:pStyle w:val="Prrafodelista"/>
      </w:pPr>
      <w:r w:rsidRPr="000B0EEC">
        <w:t xml:space="preserve">Folkman, S., &amp; Moskowitz, J. T. (2004). Coping: Pitfalls and promise. </w:t>
      </w:r>
      <w:r w:rsidRPr="000B0EEC">
        <w:rPr>
          <w:i/>
          <w:iCs/>
        </w:rPr>
        <w:t xml:space="preserve">Annual Review of Psychology, 55 </w:t>
      </w:r>
      <w:r w:rsidRPr="000B0EEC">
        <w:t>, 745–774.</w:t>
      </w:r>
    </w:p>
    <w:p w14:paraId="24CCB77C" w14:textId="77777777" w:rsidR="00D77381" w:rsidRPr="000B0EEC" w:rsidRDefault="00D77381" w:rsidP="00D77381">
      <w:pPr>
        <w:pStyle w:val="Prrafodelista"/>
      </w:pPr>
    </w:p>
    <w:p w14:paraId="0046597B" w14:textId="29FB099A" w:rsidR="00387F6E" w:rsidRPr="000B0EEC" w:rsidRDefault="00387F6E" w:rsidP="00387F6E">
      <w:pPr>
        <w:pStyle w:val="Prrafodelista"/>
      </w:pPr>
      <w:r w:rsidRPr="000B0EEC">
        <w:t>Folkman, S. (2011). Stress, health, and coping: Synthesis, commentary, and future directions. In S. Folkman (Ed.), The Oxford handbook of stress, health, and coping (pp. 453–462). Oxford: Oxford University Press.</w:t>
      </w:r>
    </w:p>
    <w:p w14:paraId="46DC027B" w14:textId="77777777" w:rsidR="00387F6E" w:rsidRPr="000B0EEC" w:rsidRDefault="00387F6E" w:rsidP="00387F6E">
      <w:pPr>
        <w:pStyle w:val="Prrafodelista"/>
      </w:pPr>
    </w:p>
    <w:p w14:paraId="135311D7" w14:textId="305E1808" w:rsidR="00D77381" w:rsidRPr="000B0EEC" w:rsidRDefault="00D77381" w:rsidP="00D77381">
      <w:pPr>
        <w:pStyle w:val="Prrafodelista"/>
        <w:rPr>
          <w:lang w:val="es-ES_tradnl"/>
        </w:rPr>
      </w:pPr>
      <w:r w:rsidRPr="000B0EEC">
        <w:rPr>
          <w:lang w:val="en-US"/>
        </w:rPr>
        <w:t>Ganster, D. C., &amp; Perrewé, P. L. (2011). Theories of occupational stress. In J. C. Quick &amp; L. E. Tetrick (Eds.), </w:t>
      </w:r>
      <w:r w:rsidRPr="000B0EEC">
        <w:rPr>
          <w:i/>
          <w:iCs/>
          <w:lang w:val="en-US"/>
        </w:rPr>
        <w:t>Handbook of occupational health psychology</w:t>
      </w:r>
      <w:r w:rsidRPr="000B0EEC">
        <w:rPr>
          <w:lang w:val="en-US"/>
        </w:rPr>
        <w:t xml:space="preserve"> (pp. 37–53). </w:t>
      </w:r>
      <w:r w:rsidRPr="000B0EEC">
        <w:rPr>
          <w:lang w:val="es-ES_tradnl"/>
        </w:rPr>
        <w:t>American Psychological Association.</w:t>
      </w:r>
    </w:p>
    <w:p w14:paraId="56C4CB11" w14:textId="77777777" w:rsidR="00BF27FB" w:rsidRPr="000B0EEC" w:rsidRDefault="00BF27FB" w:rsidP="00D77381">
      <w:pPr>
        <w:pStyle w:val="Prrafodelista"/>
        <w:rPr>
          <w:lang w:val="es-ES_tradnl"/>
        </w:rPr>
      </w:pPr>
    </w:p>
    <w:p w14:paraId="180C3D8D" w14:textId="5B2A9B33" w:rsidR="00BF27FB" w:rsidRPr="000B0EEC" w:rsidRDefault="00BF27FB" w:rsidP="00BF27FB">
      <w:pPr>
        <w:pStyle w:val="Prrafodelista"/>
        <w:rPr>
          <w:lang w:val="en-US"/>
        </w:rPr>
      </w:pPr>
      <w:r w:rsidRPr="000B0EEC">
        <w:rPr>
          <w:lang w:val="en-US"/>
        </w:rPr>
        <w:lastRenderedPageBreak/>
        <w:t>Hobfoll, S. E. (2001). The influence of culture, community and the nested-self in the stress process: Advancing conservation of resources theory. Applied Psychology: An International Review, 50 , 337–421.</w:t>
      </w:r>
    </w:p>
    <w:p w14:paraId="7D83582B" w14:textId="77777777" w:rsidR="00D77381" w:rsidRPr="000B0EEC" w:rsidRDefault="00D77381" w:rsidP="00F559C5">
      <w:pPr>
        <w:pStyle w:val="Prrafodelista"/>
        <w:rPr>
          <w:lang w:val="en-US"/>
        </w:rPr>
      </w:pPr>
    </w:p>
    <w:p w14:paraId="63C8BB9E" w14:textId="77777777" w:rsidR="00AD05D0" w:rsidRPr="000B0EEC" w:rsidRDefault="00AD05D0" w:rsidP="00F559C5">
      <w:pPr>
        <w:pStyle w:val="Prrafodelista"/>
        <w:rPr>
          <w:lang w:val="en-US"/>
        </w:rPr>
      </w:pPr>
      <w:r w:rsidRPr="000B0EEC">
        <w:rPr>
          <w:lang w:val="en-US"/>
        </w:rPr>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1" w:history="1">
        <w:r w:rsidRPr="000B0EEC">
          <w:rPr>
            <w:rStyle w:val="Hipervnculo"/>
            <w:lang w:val="en-US"/>
          </w:rPr>
          <w:t>https://doi.org/10.1007/978-3-319-54678-0_1</w:t>
        </w:r>
      </w:hyperlink>
    </w:p>
    <w:p w14:paraId="26D291F6" w14:textId="77777777" w:rsidR="00AD05D0" w:rsidRPr="000B0EEC" w:rsidRDefault="00AD05D0" w:rsidP="00F559C5">
      <w:pPr>
        <w:pStyle w:val="Prrafodelista"/>
        <w:rPr>
          <w:lang w:val="en-US"/>
        </w:rPr>
      </w:pPr>
    </w:p>
    <w:p w14:paraId="773663FA" w14:textId="77777777" w:rsidR="00AD05D0" w:rsidRDefault="00AD05D0" w:rsidP="00F559C5">
      <w:pPr>
        <w:pStyle w:val="Prrafodelista"/>
      </w:pPr>
      <w:r w:rsidRPr="000B0EEC">
        <w:rPr>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2" w:history="1">
        <w:r w:rsidRPr="000B0EEC">
          <w:rPr>
            <w:rStyle w:val="Hipervnculo"/>
            <w:lang w:val="en-US"/>
          </w:rPr>
          <w:t>https://doi.org/10.1002/job.2124</w:t>
        </w:r>
      </w:hyperlink>
    </w:p>
    <w:p w14:paraId="2773FECB" w14:textId="77777777" w:rsidR="00982D5A" w:rsidRDefault="00982D5A" w:rsidP="00F559C5">
      <w:pPr>
        <w:pStyle w:val="Prrafodelista"/>
      </w:pPr>
    </w:p>
    <w:p w14:paraId="38B70993" w14:textId="31D3FD9F" w:rsidR="00433151" w:rsidRDefault="00982D5A" w:rsidP="00982D5A">
      <w:pPr>
        <w:pStyle w:val="Prrafodelista"/>
      </w:pPr>
      <w:r w:rsidRPr="00982D5A">
        <w:t>Oblitas, L. (2006). Psicología de la salud y calidad de vida. 2da. Ed. México: Thomson.</w:t>
      </w:r>
    </w:p>
    <w:p w14:paraId="4C654EDE" w14:textId="77777777" w:rsidR="00982D5A" w:rsidRPr="000B0EEC" w:rsidRDefault="00982D5A" w:rsidP="00982D5A">
      <w:pPr>
        <w:pStyle w:val="Prrafodelista"/>
      </w:pPr>
    </w:p>
    <w:p w14:paraId="44C05AAA" w14:textId="28E59A68" w:rsidR="00B1620D" w:rsidRPr="00B374BB" w:rsidRDefault="00433151" w:rsidP="00B374BB">
      <w:pPr>
        <w:pStyle w:val="Prrafodelista"/>
      </w:pPr>
      <w:r w:rsidRPr="000B0EEC">
        <w:t>Organización Mundial de la Salud – OMS. (202</w:t>
      </w:r>
      <w:r w:rsidR="00B1620D" w:rsidRPr="000B0EEC">
        <w:t>2</w:t>
      </w:r>
      <w:r w:rsidRPr="000B0EEC">
        <w:t>). Directrices de la OMS sobre salud mental en el trabajo.</w:t>
      </w:r>
      <w:r w:rsidR="00B1620D" w:rsidRPr="000B0EEC">
        <w:t xml:space="preserve"> Editorial OMS. chrome-extension://efaidnbmnnnibpcajpcglclefindmkaj/https://iris.who.int/bitstream/handle/10665/363173/9789240058309-spa.pdf</w:t>
      </w:r>
    </w:p>
    <w:p w14:paraId="7CA6774F" w14:textId="77777777" w:rsidR="00AD05D0" w:rsidRPr="000B0EEC" w:rsidRDefault="00AD05D0" w:rsidP="00F559C5">
      <w:pPr>
        <w:pStyle w:val="Prrafodelista"/>
        <w:rPr>
          <w:lang w:val="en-US"/>
        </w:rPr>
      </w:pPr>
    </w:p>
    <w:p w14:paraId="193C1DE5" w14:textId="6FC097FE" w:rsidR="00AD05D0" w:rsidRPr="000B0EEC" w:rsidRDefault="00AD05D0" w:rsidP="00F559C5">
      <w:pPr>
        <w:pStyle w:val="Prrafodelista"/>
      </w:pPr>
      <w:r w:rsidRPr="000B0EEC">
        <w:t xml:space="preserve">Osorio Jaramillo , . L. (2022). Diseño y validación de un programa de salud mental en las organizaciones. </w:t>
      </w:r>
      <w:r w:rsidRPr="000B0EEC">
        <w:rPr>
          <w:lang w:val="en-US"/>
        </w:rPr>
        <w:t xml:space="preserve">Cuadernos Hispanoamericanos De Psicología, 22(1), 1–14. </w:t>
      </w:r>
      <w:hyperlink r:id="rId13" w:history="1">
        <w:r w:rsidR="00CC4840" w:rsidRPr="000B0EEC">
          <w:rPr>
            <w:rStyle w:val="Hipervnculo"/>
            <w:lang w:val="en-US"/>
          </w:rPr>
          <w:t>https://doi.org/10.18270/chps..v22i1.4034</w:t>
        </w:r>
        <w:r w:rsidR="00CC4840" w:rsidRPr="000B0EEC">
          <w:rPr>
            <w:rStyle w:val="Hipervnculo"/>
          </w:rPr>
          <w:t>4</w:t>
        </w:r>
      </w:hyperlink>
    </w:p>
    <w:p w14:paraId="26533507" w14:textId="77777777" w:rsidR="00CC4840" w:rsidRPr="000B0EEC" w:rsidRDefault="00CC4840" w:rsidP="00F559C5">
      <w:pPr>
        <w:pStyle w:val="Prrafodelista"/>
      </w:pPr>
    </w:p>
    <w:p w14:paraId="325387F9" w14:textId="47B300D4" w:rsidR="00AD05D0" w:rsidRDefault="00CC4840" w:rsidP="00B374BB">
      <w:pPr>
        <w:pStyle w:val="Prrafodelista"/>
        <w:rPr>
          <w:lang w:val="en-US"/>
        </w:rPr>
      </w:pPr>
      <w:r w:rsidRPr="000B0EEC">
        <w:rPr>
          <w:lang w:val="en-US"/>
        </w:rPr>
        <w:t>Rydstedt, L. W., Ferrie, J., &amp; Head, J. (2006). Is there support for curvilinear relationships between psychosocial work characteristics and mental wellbeing? Cross-sectional and long-term data from the Whitehall II study. Work and Stress, 20, 6–20. doi:10.1080/02678370600668119</w:t>
      </w:r>
    </w:p>
    <w:p w14:paraId="0BB2B11F" w14:textId="77777777" w:rsidR="00B374BB" w:rsidRPr="00B374BB" w:rsidRDefault="00B374BB" w:rsidP="00B374BB">
      <w:pPr>
        <w:pStyle w:val="Prrafodelista"/>
        <w:rPr>
          <w:lang w:val="en-US"/>
        </w:rPr>
      </w:pPr>
    </w:p>
    <w:p w14:paraId="4994349F" w14:textId="77777777" w:rsidR="00AD05D0" w:rsidRPr="000B0EEC" w:rsidRDefault="00AD05D0" w:rsidP="00F559C5">
      <w:pPr>
        <w:pStyle w:val="Prrafodelista"/>
        <w:rPr>
          <w:lang w:val="en-US"/>
        </w:rPr>
      </w:pPr>
      <w:r w:rsidRPr="000B0EEC">
        <w:t xml:space="preserve">Sandoval-Reyes, J., Acosta-Prado, J. C., &amp; Sanchís-Pedregosa, C. (2019). </w:t>
      </w:r>
      <w:r w:rsidRPr="000B0EEC">
        <w:rPr>
          <w:lang w:val="en-US"/>
        </w:rPr>
        <w:t xml:space="preserve">Relationship Amongst Technology Use, Work Overload, and Psychological Detachment from Work. International journal of environmental research and public health, 16(23), 4602. </w:t>
      </w:r>
      <w:hyperlink r:id="rId14" w:history="1">
        <w:r w:rsidRPr="000B0EEC">
          <w:rPr>
            <w:rStyle w:val="Hipervnculo"/>
            <w:lang w:val="en-US"/>
          </w:rPr>
          <w:t>https://doi.org/10.3390/ijerph16234602</w:t>
        </w:r>
      </w:hyperlink>
    </w:p>
    <w:p w14:paraId="55B39772" w14:textId="77777777" w:rsidR="00AD05D0" w:rsidRPr="000B0EEC" w:rsidRDefault="00AD05D0" w:rsidP="00F559C5">
      <w:pPr>
        <w:pStyle w:val="Prrafodelista"/>
        <w:rPr>
          <w:lang w:val="en-US"/>
        </w:rPr>
      </w:pPr>
    </w:p>
    <w:p w14:paraId="65C5C887" w14:textId="77777777" w:rsidR="00AD05D0" w:rsidRPr="000B0EEC" w:rsidRDefault="00AD05D0" w:rsidP="00F559C5">
      <w:pPr>
        <w:pStyle w:val="Prrafodelista"/>
      </w:pPr>
      <w:r w:rsidRPr="000B0EEC">
        <w:rPr>
          <w:lang w:val="en-US"/>
        </w:rPr>
        <w:t xml:space="preserve">Satterthwaite,M., Knuckey, S., et al.(2019). From a 'Culture of Unwellness' to Sustainable Advocacy: Organizational Responses to Mental Health Risks in the Human Rights Field. Review of Law and Social Justice, 28. </w:t>
      </w:r>
      <w:r w:rsidRPr="000B0EEC">
        <w:t xml:space="preserve">Disponible en: </w:t>
      </w:r>
      <w:hyperlink r:id="rId15" w:history="1">
        <w:r w:rsidRPr="000B0EEC">
          <w:rPr>
            <w:rStyle w:val="Hipervnculo"/>
          </w:rPr>
          <w:t>https://papers.ssrn.com/sol3/papers.cfm?abstract_id=3393638</w:t>
        </w:r>
      </w:hyperlink>
    </w:p>
    <w:p w14:paraId="6FAAD442" w14:textId="77777777" w:rsidR="00AD05D0" w:rsidRPr="000B0EEC" w:rsidRDefault="00AD05D0" w:rsidP="00F559C5">
      <w:pPr>
        <w:pStyle w:val="Prrafodelista"/>
      </w:pPr>
    </w:p>
    <w:p w14:paraId="079DD36D" w14:textId="77777777" w:rsidR="00AD05D0" w:rsidRDefault="00AD05D0" w:rsidP="00F559C5">
      <w:pPr>
        <w:pStyle w:val="Prrafodelista"/>
      </w:pPr>
      <w:r w:rsidRPr="000B0EEC">
        <w:rPr>
          <w:lang w:val="en-US"/>
        </w:rPr>
        <w:t xml:space="preserve">Silvaggi, F., &amp; Miraglia, M. (2017). Mental health at work: A review of interventions in organizations. E-Journal of International and Comparative Labour Studies, 6(1), 34-58. </w:t>
      </w:r>
      <w:hyperlink r:id="rId16" w:history="1">
        <w:r w:rsidRPr="000B0EEC">
          <w:rPr>
            <w:rStyle w:val="Hipervnculo"/>
            <w:lang w:val="en-US"/>
          </w:rPr>
          <w:t>http://ejcls.adapt.it/index.php/ejcls_adapt/article/view/443</w:t>
        </w:r>
      </w:hyperlink>
    </w:p>
    <w:p w14:paraId="319C5183" w14:textId="77777777" w:rsidR="00B374BB" w:rsidRDefault="00B374BB" w:rsidP="00F559C5">
      <w:pPr>
        <w:pStyle w:val="Prrafodelista"/>
      </w:pPr>
    </w:p>
    <w:p w14:paraId="0E4AE876" w14:textId="77777777" w:rsidR="00B374BB" w:rsidRDefault="00B374BB" w:rsidP="00F559C5">
      <w:pPr>
        <w:pStyle w:val="Prrafodelista"/>
      </w:pPr>
    </w:p>
    <w:p w14:paraId="4D30B078" w14:textId="77777777" w:rsidR="00D769AC" w:rsidRDefault="00D769AC" w:rsidP="00F559C5">
      <w:pPr>
        <w:pStyle w:val="Prrafodelista"/>
      </w:pPr>
    </w:p>
    <w:p w14:paraId="647B179E" w14:textId="31707385" w:rsidR="00D769AC" w:rsidRDefault="00D769AC" w:rsidP="00F559C5">
      <w:pPr>
        <w:pStyle w:val="Prrafodelista"/>
      </w:pPr>
      <w:r w:rsidRPr="00D769AC">
        <w:t>Schmidt, D., Fritsch, J., Feil, K. </w:t>
      </w:r>
      <w:r w:rsidRPr="00D769AC">
        <w:rPr>
          <w:i/>
          <w:iCs/>
        </w:rPr>
        <w:t>et al.</w:t>
      </w:r>
      <w:r w:rsidRPr="00D769AC">
        <w:t> </w:t>
      </w:r>
      <w:r>
        <w:t xml:space="preserve"> (2023). </w:t>
      </w:r>
      <w:r w:rsidRPr="00D769AC">
        <w:t>Impact of a digital and conventional prevention program on work ability, physical health, and mental health among employees with initial impairments. </w:t>
      </w:r>
      <w:r w:rsidRPr="00D769AC">
        <w:rPr>
          <w:i/>
          <w:iCs/>
        </w:rPr>
        <w:t>BMC Digit Health</w:t>
      </w:r>
      <w:r w:rsidRPr="00D769AC">
        <w:t> </w:t>
      </w:r>
      <w:r w:rsidRPr="00D769AC">
        <w:rPr>
          <w:b/>
          <w:bCs/>
        </w:rPr>
        <w:t>1</w:t>
      </w:r>
      <w:r w:rsidRPr="00D769AC">
        <w:t xml:space="preserve">, 39 (2023). </w:t>
      </w:r>
      <w:hyperlink r:id="rId17" w:history="1">
        <w:r w:rsidRPr="00F529C8">
          <w:rPr>
            <w:rStyle w:val="Hipervnculo"/>
          </w:rPr>
          <w:t>https://doi.org/10.1186/s44247-023-00043-y</w:t>
        </w:r>
      </w:hyperlink>
    </w:p>
    <w:p w14:paraId="4CC4C25B" w14:textId="77777777" w:rsidR="00AD05D0" w:rsidRPr="000B0EEC" w:rsidRDefault="00AD05D0" w:rsidP="00F559C5">
      <w:pPr>
        <w:pStyle w:val="Prrafodelista"/>
        <w:rPr>
          <w:lang w:val="en-US"/>
        </w:rPr>
      </w:pPr>
    </w:p>
    <w:p w14:paraId="3360FB05" w14:textId="77777777" w:rsidR="0036119D" w:rsidRPr="000B0EEC" w:rsidRDefault="0036119D" w:rsidP="00F559C5">
      <w:pPr>
        <w:pStyle w:val="Prrafodelista"/>
        <w:rPr>
          <w:rFonts w:cstheme="minorHAnsi"/>
          <w:lang w:val="en-US"/>
        </w:rPr>
      </w:pPr>
      <w:r w:rsidRPr="000B0EEC">
        <w:rPr>
          <w:rStyle w:val="author"/>
          <w:rFonts w:cstheme="minorHAnsi"/>
          <w:color w:val="1C1D1E"/>
          <w:shd w:val="clear" w:color="auto" w:fill="FFFFFF"/>
          <w:lang w:val="en-US"/>
        </w:rPr>
        <w:t>Sonnentag, S.</w:t>
      </w:r>
      <w:r w:rsidRPr="000B0EEC">
        <w:rPr>
          <w:rFonts w:cstheme="minorHAnsi"/>
          <w:color w:val="1C1D1E"/>
          <w:shd w:val="clear" w:color="auto" w:fill="FFFFFF"/>
          <w:lang w:val="en-US"/>
        </w:rPr>
        <w:t>, and </w:t>
      </w:r>
      <w:r w:rsidRPr="000B0EEC">
        <w:rPr>
          <w:rStyle w:val="author"/>
          <w:rFonts w:cstheme="minorHAnsi"/>
          <w:color w:val="1C1D1E"/>
          <w:shd w:val="clear" w:color="auto" w:fill="FFFFFF"/>
          <w:lang w:val="en-US"/>
        </w:rPr>
        <w:t>Fritz, C.</w:t>
      </w:r>
      <w:r w:rsidRPr="000B0EEC">
        <w:rPr>
          <w:rFonts w:cstheme="minorHAnsi"/>
          <w:color w:val="1C1D1E"/>
          <w:shd w:val="clear" w:color="auto" w:fill="FFFFFF"/>
          <w:lang w:val="en-US"/>
        </w:rPr>
        <w:t> (</w:t>
      </w:r>
      <w:r w:rsidRPr="000B0EEC">
        <w:rPr>
          <w:rStyle w:val="pubyear"/>
          <w:rFonts w:cstheme="minorHAnsi"/>
          <w:color w:val="1C1D1E"/>
          <w:shd w:val="clear" w:color="auto" w:fill="FFFFFF"/>
          <w:lang w:val="en-US"/>
        </w:rPr>
        <w:t>2015</w:t>
      </w:r>
      <w:r w:rsidRPr="000B0EEC">
        <w:rPr>
          <w:rFonts w:cstheme="minorHAnsi"/>
          <w:color w:val="1C1D1E"/>
          <w:shd w:val="clear" w:color="auto" w:fill="FFFFFF"/>
          <w:lang w:val="en-US"/>
        </w:rPr>
        <w:t>) </w:t>
      </w:r>
      <w:r w:rsidRPr="000B0EEC">
        <w:rPr>
          <w:rStyle w:val="articletitle"/>
          <w:rFonts w:cstheme="minorHAnsi"/>
          <w:color w:val="1C1D1E"/>
          <w:shd w:val="clear" w:color="auto" w:fill="FFFFFF"/>
          <w:lang w:val="en-US"/>
        </w:rPr>
        <w:t>Recovery from job stress: The stressor-detachment model as an integrative framework</w:t>
      </w:r>
      <w:r w:rsidRPr="000B0EEC">
        <w:rPr>
          <w:rFonts w:cstheme="minorHAnsi"/>
          <w:color w:val="1C1D1E"/>
          <w:shd w:val="clear" w:color="auto" w:fill="FFFFFF"/>
          <w:lang w:val="en-US"/>
        </w:rPr>
        <w:t>, </w:t>
      </w:r>
      <w:r w:rsidRPr="000B0EEC">
        <w:rPr>
          <w:rFonts w:cstheme="minorHAnsi"/>
          <w:i/>
          <w:iCs/>
          <w:color w:val="1C1D1E"/>
          <w:shd w:val="clear" w:color="auto" w:fill="FFFFFF"/>
          <w:lang w:val="en-US"/>
        </w:rPr>
        <w:t xml:space="preserve">J. Organiz. </w:t>
      </w:r>
      <w:r w:rsidRPr="000B0EEC">
        <w:rPr>
          <w:rFonts w:cstheme="minorHAnsi"/>
          <w:i/>
          <w:iCs/>
          <w:color w:val="1C1D1E"/>
          <w:shd w:val="clear" w:color="auto" w:fill="FFFFFF"/>
        </w:rPr>
        <w:t>Behav.</w:t>
      </w:r>
      <w:r w:rsidRPr="000B0EEC">
        <w:rPr>
          <w:rFonts w:cstheme="minorHAnsi"/>
          <w:color w:val="1C1D1E"/>
          <w:shd w:val="clear" w:color="auto" w:fill="FFFFFF"/>
        </w:rPr>
        <w:t>, </w:t>
      </w:r>
      <w:r w:rsidRPr="000B0EEC">
        <w:rPr>
          <w:rStyle w:val="vol"/>
          <w:rFonts w:cstheme="minorHAnsi"/>
          <w:color w:val="1C1D1E"/>
          <w:shd w:val="clear" w:color="auto" w:fill="FFFFFF"/>
        </w:rPr>
        <w:t>36</w:t>
      </w:r>
      <w:r w:rsidRPr="000B0EEC">
        <w:rPr>
          <w:rFonts w:cstheme="minorHAnsi"/>
          <w:color w:val="1C1D1E"/>
          <w:shd w:val="clear" w:color="auto" w:fill="FFFFFF"/>
        </w:rPr>
        <w:t>, </w:t>
      </w:r>
      <w:r w:rsidRPr="000B0EEC">
        <w:rPr>
          <w:rStyle w:val="pagefirst"/>
          <w:rFonts w:cstheme="minorHAnsi"/>
          <w:color w:val="1C1D1E"/>
          <w:shd w:val="clear" w:color="auto" w:fill="FFFFFF"/>
        </w:rPr>
        <w:t>S72</w:t>
      </w:r>
      <w:r w:rsidRPr="000B0EEC">
        <w:rPr>
          <w:rFonts w:cstheme="minorHAnsi"/>
          <w:color w:val="1C1D1E"/>
          <w:shd w:val="clear" w:color="auto" w:fill="FFFFFF"/>
        </w:rPr>
        <w:t>– </w:t>
      </w:r>
      <w:r w:rsidRPr="000B0EEC">
        <w:rPr>
          <w:rStyle w:val="pagelast"/>
          <w:rFonts w:cstheme="minorHAnsi"/>
          <w:color w:val="1C1D1E"/>
          <w:shd w:val="clear" w:color="auto" w:fill="FFFFFF"/>
        </w:rPr>
        <w:t>S103</w:t>
      </w:r>
      <w:r w:rsidRPr="000B0EEC">
        <w:rPr>
          <w:rFonts w:cstheme="minorHAnsi"/>
          <w:color w:val="1C1D1E"/>
          <w:shd w:val="clear" w:color="auto" w:fill="FFFFFF"/>
        </w:rPr>
        <w:t>, doi: </w:t>
      </w:r>
      <w:hyperlink r:id="rId18" w:tgtFrame="_blank" w:tooltip="Link to external resource: 10.1002/job.1924" w:history="1">
        <w:r w:rsidRPr="000B0EEC">
          <w:rPr>
            <w:rStyle w:val="Hipervnculo"/>
            <w:rFonts w:cstheme="minorHAnsi"/>
            <w:color w:val="005274"/>
            <w:shd w:val="clear" w:color="auto" w:fill="FFFFFF"/>
          </w:rPr>
          <w:t>10.1002/job.1924</w:t>
        </w:r>
      </w:hyperlink>
    </w:p>
    <w:p w14:paraId="2A8AC01E" w14:textId="77777777" w:rsidR="0036119D" w:rsidRPr="000B0EEC" w:rsidRDefault="0036119D" w:rsidP="00F559C5">
      <w:pPr>
        <w:pStyle w:val="Prrafodelista"/>
        <w:rPr>
          <w:lang w:val="en-US"/>
        </w:rPr>
      </w:pPr>
    </w:p>
    <w:p w14:paraId="27F8F573" w14:textId="77777777" w:rsidR="00AD05D0" w:rsidRPr="000B0EEC" w:rsidRDefault="00AD05D0" w:rsidP="00F559C5">
      <w:pPr>
        <w:pStyle w:val="Prrafodelista"/>
        <w:rPr>
          <w:lang w:val="en-US"/>
        </w:rPr>
      </w:pPr>
      <w:r w:rsidRPr="000B0EEC">
        <w:rPr>
          <w:lang w:val="en-US"/>
        </w:rPr>
        <w:t xml:space="preserve">Wendsche, J., &amp; Lohmann-Haislah, A. (2017). A Meta-Analysis on Antecedents and Outcomes of Detachment from Work. Frontiers in psychology, 7, 2072. </w:t>
      </w:r>
      <w:hyperlink r:id="rId19" w:history="1">
        <w:r w:rsidRPr="000B0EEC">
          <w:rPr>
            <w:rStyle w:val="Hipervnculo"/>
            <w:lang w:val="en-US"/>
          </w:rPr>
          <w:t>https://doi.org/10.3389/fpsyg.2016.02072</w:t>
        </w:r>
      </w:hyperlink>
    </w:p>
    <w:p w14:paraId="14ECF93F" w14:textId="77777777" w:rsidR="00AD05D0" w:rsidRPr="000B0EEC" w:rsidRDefault="00AD05D0" w:rsidP="00F559C5">
      <w:pPr>
        <w:pStyle w:val="Prrafodelista"/>
        <w:rPr>
          <w:lang w:val="en-US"/>
        </w:rPr>
      </w:pPr>
    </w:p>
    <w:p w14:paraId="6222AFC4" w14:textId="77777777" w:rsidR="00C00420" w:rsidRDefault="00AD05D0" w:rsidP="00980A72">
      <w:pPr>
        <w:pStyle w:val="Prrafodelista"/>
        <w:rPr>
          <w:kern w:val="0"/>
          <w14:ligatures w14:val="none"/>
        </w:rPr>
      </w:pPr>
      <w:r w:rsidRPr="000B0EEC">
        <w:rPr>
          <w:rFonts w:cstheme="minorHAnsi"/>
          <w:color w:val="1B1B1B"/>
          <w:kern w:val="0"/>
          <w:sz w:val="24"/>
          <w:szCs w:val="24"/>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0B0EEC">
        <w:rPr>
          <w:rFonts w:cstheme="minorHAnsi"/>
          <w:color w:val="1B1B1B"/>
          <w:kern w:val="0"/>
          <w:sz w:val="24"/>
          <w:szCs w:val="24"/>
          <w:shd w:val="clear" w:color="auto" w:fill="FFFFFF"/>
          <w14:ligatures w14:val="none"/>
        </w:rPr>
        <w:t xml:space="preserve">Frontiers in psychology, 10, 2745. </w:t>
      </w:r>
      <w:hyperlink r:id="rId20" w:history="1">
        <w:r w:rsidRPr="000B0EEC">
          <w:rPr>
            <w:rStyle w:val="Hipervnculo"/>
            <w:rFonts w:cstheme="minorHAnsi"/>
            <w:kern w:val="0"/>
            <w:sz w:val="24"/>
            <w:szCs w:val="24"/>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sectPr w:rsidR="003F1A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625E9"/>
    <w:multiLevelType w:val="multilevel"/>
    <w:tmpl w:val="29A4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 w15:restartNumberingAfterBreak="0">
    <w:nsid w:val="40A95FC6"/>
    <w:multiLevelType w:val="hybridMultilevel"/>
    <w:tmpl w:val="6E54EA7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5622018">
    <w:abstractNumId w:val="2"/>
  </w:num>
  <w:num w:numId="4" w16cid:durableId="156305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007AE5"/>
    <w:rsid w:val="000B0EEC"/>
    <w:rsid w:val="00246097"/>
    <w:rsid w:val="00255D30"/>
    <w:rsid w:val="0036119D"/>
    <w:rsid w:val="00387F6E"/>
    <w:rsid w:val="003B3E78"/>
    <w:rsid w:val="003F1A2C"/>
    <w:rsid w:val="0040047E"/>
    <w:rsid w:val="00423972"/>
    <w:rsid w:val="00433151"/>
    <w:rsid w:val="004334ED"/>
    <w:rsid w:val="00441DE9"/>
    <w:rsid w:val="00460534"/>
    <w:rsid w:val="004715F8"/>
    <w:rsid w:val="004E21F4"/>
    <w:rsid w:val="004E746D"/>
    <w:rsid w:val="005326F1"/>
    <w:rsid w:val="006867B1"/>
    <w:rsid w:val="00750107"/>
    <w:rsid w:val="007A1F1C"/>
    <w:rsid w:val="008117FB"/>
    <w:rsid w:val="00912601"/>
    <w:rsid w:val="00954506"/>
    <w:rsid w:val="00956C2D"/>
    <w:rsid w:val="009743ED"/>
    <w:rsid w:val="0097638F"/>
    <w:rsid w:val="00980A72"/>
    <w:rsid w:val="00982D5A"/>
    <w:rsid w:val="009C46DE"/>
    <w:rsid w:val="009F03CA"/>
    <w:rsid w:val="00A00525"/>
    <w:rsid w:val="00A134C4"/>
    <w:rsid w:val="00A54716"/>
    <w:rsid w:val="00A7092E"/>
    <w:rsid w:val="00A72EE1"/>
    <w:rsid w:val="00A863D9"/>
    <w:rsid w:val="00AB67AB"/>
    <w:rsid w:val="00AD05D0"/>
    <w:rsid w:val="00B1620D"/>
    <w:rsid w:val="00B31825"/>
    <w:rsid w:val="00B374BB"/>
    <w:rsid w:val="00B47828"/>
    <w:rsid w:val="00B5341C"/>
    <w:rsid w:val="00BC7225"/>
    <w:rsid w:val="00BD45D2"/>
    <w:rsid w:val="00BF27FB"/>
    <w:rsid w:val="00C00420"/>
    <w:rsid w:val="00C624BA"/>
    <w:rsid w:val="00CC1F55"/>
    <w:rsid w:val="00CC4840"/>
    <w:rsid w:val="00CE0B62"/>
    <w:rsid w:val="00D20D18"/>
    <w:rsid w:val="00D326D2"/>
    <w:rsid w:val="00D60C48"/>
    <w:rsid w:val="00D769AC"/>
    <w:rsid w:val="00D77381"/>
    <w:rsid w:val="00D808F0"/>
    <w:rsid w:val="00DD2ABA"/>
    <w:rsid w:val="00E62190"/>
    <w:rsid w:val="00E90239"/>
    <w:rsid w:val="00EA3B8E"/>
    <w:rsid w:val="00EA62CD"/>
    <w:rsid w:val="00F16E22"/>
    <w:rsid w:val="00F33E30"/>
    <w:rsid w:val="00F559C5"/>
    <w:rsid w:val="00F85768"/>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5682">
      <w:bodyDiv w:val="1"/>
      <w:marLeft w:val="0"/>
      <w:marRight w:val="0"/>
      <w:marTop w:val="0"/>
      <w:marBottom w:val="0"/>
      <w:divBdr>
        <w:top w:val="none" w:sz="0" w:space="0" w:color="auto"/>
        <w:left w:val="none" w:sz="0" w:space="0" w:color="auto"/>
        <w:bottom w:val="none" w:sz="0" w:space="0" w:color="auto"/>
        <w:right w:val="none" w:sz="0" w:space="0" w:color="auto"/>
      </w:divBdr>
    </w:div>
    <w:div w:id="32311414">
      <w:bodyDiv w:val="1"/>
      <w:marLeft w:val="0"/>
      <w:marRight w:val="0"/>
      <w:marTop w:val="0"/>
      <w:marBottom w:val="0"/>
      <w:divBdr>
        <w:top w:val="none" w:sz="0" w:space="0" w:color="auto"/>
        <w:left w:val="none" w:sz="0" w:space="0" w:color="auto"/>
        <w:bottom w:val="none" w:sz="0" w:space="0" w:color="auto"/>
        <w:right w:val="none" w:sz="0" w:space="0" w:color="auto"/>
      </w:divBdr>
    </w:div>
    <w:div w:id="43678640">
      <w:bodyDiv w:val="1"/>
      <w:marLeft w:val="0"/>
      <w:marRight w:val="0"/>
      <w:marTop w:val="0"/>
      <w:marBottom w:val="0"/>
      <w:divBdr>
        <w:top w:val="none" w:sz="0" w:space="0" w:color="auto"/>
        <w:left w:val="none" w:sz="0" w:space="0" w:color="auto"/>
        <w:bottom w:val="none" w:sz="0" w:space="0" w:color="auto"/>
        <w:right w:val="none" w:sz="0" w:space="0" w:color="auto"/>
      </w:divBdr>
    </w:div>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1517449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4614-4839-6_2" TargetMode="External"/><Relationship Id="rId13" Type="http://schemas.openxmlformats.org/officeDocument/2006/relationships/hyperlink" Target="https://doi.org/10.18270/chps..v22i1.40344" TargetMode="External"/><Relationship Id="rId18" Type="http://schemas.openxmlformats.org/officeDocument/2006/relationships/hyperlink" Target="https://doi.org/10.1002/job.19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4000/laboreal.8030" TargetMode="External"/><Relationship Id="rId12" Type="http://schemas.openxmlformats.org/officeDocument/2006/relationships/hyperlink" Target="https://doi.org/10.1002/job.2124" TargetMode="External"/><Relationship Id="rId17" Type="http://schemas.openxmlformats.org/officeDocument/2006/relationships/hyperlink" Target="https://doi.org/10.1186/s44247-023-00043-y" TargetMode="External"/><Relationship Id="rId2" Type="http://schemas.openxmlformats.org/officeDocument/2006/relationships/styles" Target="styles.xml"/><Relationship Id="rId16" Type="http://schemas.openxmlformats.org/officeDocument/2006/relationships/hyperlink" Target="http://ejcls.adapt.it/index.php/ejcls_adapt/article/view/443" TargetMode="External"/><Relationship Id="rId20" Type="http://schemas.openxmlformats.org/officeDocument/2006/relationships/hyperlink" Target="https://doi.org/10.3389/fpsyg.2019.02745" TargetMode="Externa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7/978-3-319-54678-0_1" TargetMode="External"/><Relationship Id="rId5" Type="http://schemas.openxmlformats.org/officeDocument/2006/relationships/hyperlink" Target="https://doi.org/10.29393/EID4-26MPDA10026" TargetMode="External"/><Relationship Id="rId15" Type="http://schemas.openxmlformats.org/officeDocument/2006/relationships/hyperlink" Target="https://papers.ssrn.com/sol3/papers.cfm?abstract_id=3393638" TargetMode="External"/><Relationship Id="rId10" Type="http://schemas.openxmlformats.org/officeDocument/2006/relationships/hyperlink" Target="https://doi.org/10.1177/0706743719842559" TargetMode="External"/><Relationship Id="rId19" Type="http://schemas.openxmlformats.org/officeDocument/2006/relationships/hyperlink" Target="https://doi.org/10.3389/fpsyg.2016.02072" TargetMode="External"/><Relationship Id="rId4" Type="http://schemas.openxmlformats.org/officeDocument/2006/relationships/webSettings" Target="webSettings.xml"/><Relationship Id="rId9" Type="http://schemas.openxmlformats.org/officeDocument/2006/relationships/hyperlink" Target="https://doi.org/10.1037/ocp0000126" TargetMode="External"/><Relationship Id="rId14" Type="http://schemas.openxmlformats.org/officeDocument/2006/relationships/hyperlink" Target="https://doi.org/10.3390/ijerph16234602"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3961</Words>
  <Characters>21788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Héctor Rodrigo Ospina</cp:lastModifiedBy>
  <cp:revision>2</cp:revision>
  <cp:lastPrinted>2025-03-06T18:55:00Z</cp:lastPrinted>
  <dcterms:created xsi:type="dcterms:W3CDTF">2025-03-20T19:36:00Z</dcterms:created>
  <dcterms:modified xsi:type="dcterms:W3CDTF">2025-03-20T19:36:00Z</dcterms:modified>
</cp:coreProperties>
</file>