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C919大型客机机身段制造项目招标文件</w:t>
      </w:r>
    </w:p>
    <w:p>
      <w:r>
        <w:t>一、项目基本信息</w:t>
      </w:r>
    </w:p>
    <w:p>
      <w:r>
        <w:t>项目名称：C919大型客机机身段制造项目</w:t>
      </w:r>
    </w:p>
    <w:p>
      <w:r>
        <w:t>项目编号：COMAC-2024-FUSELAGE-001</w:t>
      </w:r>
    </w:p>
    <w:p>
      <w:r>
        <w:t>招标单位：中国商用飞机有限责任公司</w:t>
      </w:r>
    </w:p>
    <w:p>
      <w:r>
        <w:t>招标日期：2024年3月15日</w:t>
      </w:r>
    </w:p>
    <w:p>
      <w:r>
        <w:t>投标截止时间：2024年4月30日 17:00（北京时间）</w:t>
      </w:r>
    </w:p>
    <w:p>
      <w:r>
        <w:t>开标时间：2024年5月5日 9:00（北京时间）</w:t>
      </w:r>
    </w:p>
    <w:p>
      <w:r>
        <w:t>二、项目概述</w:t>
      </w:r>
    </w:p>
    <w:p>
      <w:r>
        <w:t>本项目旨在采购C919大型客机机身中段和后段的制造服务，包括但不限于：</w:t>
      </w:r>
    </w:p>
    <w:p>
      <w:pPr>
        <w:pStyle w:val="ListNumber"/>
      </w:pPr>
      <w:r>
        <w:t>机身中段（含客舱段）制造，长度约15米，直径约3.96米</w:t>
      </w:r>
    </w:p>
    <w:p>
      <w:pPr>
        <w:pStyle w:val="ListNumber"/>
      </w:pPr>
      <w:r>
        <w:t>机身后段（含尾锥段）制造，长度约8米</w:t>
      </w:r>
    </w:p>
    <w:p>
      <w:pPr>
        <w:pStyle w:val="ListNumber"/>
      </w:pPr>
      <w:r>
        <w:t>机身蒙皮、框架、桁条等结构件的加工与装配</w:t>
      </w:r>
    </w:p>
    <w:p>
      <w:pPr>
        <w:pStyle w:val="ListNumber"/>
      </w:pPr>
      <w:r>
        <w:t>机身段总装、检测与交付</w:t>
      </w:r>
    </w:p>
    <w:p>
      <w:pPr>
        <w:pStyle w:val="ListNumber"/>
      </w:pPr>
      <w:r>
        <w:t>相关技术文档和工艺文件的提供</w:t>
      </w:r>
    </w:p>
    <w:p>
      <w:r>
        <w:t>三、技术要求</w:t>
      </w:r>
    </w:p>
    <w:p>
      <w:r>
        <w:t>3.1 材料要求</w:t>
      </w:r>
    </w:p>
    <w:p>
      <w:pPr>
        <w:pStyle w:val="ListNumber"/>
      </w:pPr>
      <w:r>
        <w:t>蒙皮材料：采用航空级铝合金2024-T3或7075-T6，厚度范围1.2-3.0mm</w:t>
      </w:r>
    </w:p>
    <w:p>
      <w:pPr>
        <w:pStyle w:val="ListNumber"/>
      </w:pPr>
      <w:r>
        <w:t>框架材料：采用航空级铝合金或钛合金，满足AS9100标准</w:t>
      </w:r>
    </w:p>
    <w:p>
      <w:pPr>
        <w:pStyle w:val="ListNumber"/>
      </w:pPr>
      <w:r>
        <w:t>紧固件：符合NAS标准，提供材料证明和检测报告</w:t>
      </w:r>
    </w:p>
    <w:p>
      <w:pPr>
        <w:pStyle w:val="ListNumber"/>
      </w:pPr>
      <w:r>
        <w:t>所有材料需提供完整的追溯性文件，包括批次号、供应商信息等</w:t>
      </w:r>
    </w:p>
    <w:p>
      <w:r>
        <w:t>3.2 制造工艺要求</w:t>
      </w:r>
    </w:p>
    <w:p>
      <w:pPr>
        <w:pStyle w:val="ListNumber"/>
      </w:pPr>
      <w:r>
        <w:t>蒙皮成形：采用数控拉伸成形或滚弯成形，表面粗糙度Ra≤1.6μm</w:t>
      </w:r>
    </w:p>
    <w:p>
      <w:pPr>
        <w:pStyle w:val="ListNumber"/>
      </w:pPr>
      <w:r>
        <w:t>机械加工：采用五轴数控加工中心，加工精度±0.05mm</w:t>
      </w:r>
    </w:p>
    <w:p>
      <w:pPr>
        <w:pStyle w:val="ListNumber"/>
      </w:pPr>
      <w:r>
        <w:t>装配工艺：采用数字化装配技术，装配精度满足图纸要求</w:t>
      </w:r>
    </w:p>
    <w:p>
      <w:pPr>
        <w:pStyle w:val="ListNumber"/>
      </w:pPr>
      <w:r>
        <w:t>焊接工艺：如涉及焊接，需符合AWS D17.1标准，焊工需持证上岗</w:t>
      </w:r>
    </w:p>
    <w:p>
      <w:pPr>
        <w:pStyle w:val="ListNumber"/>
      </w:pPr>
      <w:r>
        <w:t>表面处理：需进行阳极氧化或喷涂处理，满足防腐要求</w:t>
      </w:r>
    </w:p>
    <w:p>
      <w:r>
        <w:t>3.3 质量要求</w:t>
      </w:r>
    </w:p>
    <w:p>
      <w:pPr>
        <w:pStyle w:val="ListNumber"/>
      </w:pPr>
      <w:r>
        <w:t>质量管理体系：供应商需通过AS9100质量管理体系认证</w:t>
      </w:r>
    </w:p>
    <w:p>
      <w:pPr>
        <w:pStyle w:val="ListNumber"/>
      </w:pPr>
      <w:r>
        <w:t>检测要求：所有关键尺寸需100%检测，并提供检测报告</w:t>
      </w:r>
    </w:p>
    <w:p>
      <w:pPr>
        <w:pStyle w:val="ListNumber"/>
      </w:pPr>
      <w:r>
        <w:t>无损检测：关键部位需进行X射线、超声波或渗透检测</w:t>
      </w:r>
    </w:p>
    <w:p>
      <w:pPr>
        <w:pStyle w:val="ListNumber"/>
      </w:pPr>
      <w:r>
        <w:t>交付标准：产品需满足CCAR-25部适航要求</w:t>
      </w:r>
    </w:p>
    <w:p>
      <w:pPr>
        <w:pStyle w:val="ListNumber"/>
      </w:pPr>
      <w:r>
        <w:t>不合格品处理：建立不合格品控制程序，确保不合格品不流入下道工序</w:t>
      </w:r>
    </w:p>
    <w:p>
      <w:r>
        <w:t>3.4 交付要求</w:t>
      </w:r>
    </w:p>
    <w:p>
      <w:pPr>
        <w:pStyle w:val="ListNumber"/>
      </w:pPr>
      <w:r>
        <w:t>交付时间：合同签订后18个月内完成首批交付</w:t>
      </w:r>
    </w:p>
    <w:p>
      <w:pPr>
        <w:pStyle w:val="ListNumber"/>
      </w:pPr>
      <w:r>
        <w:t>交付地点：招标方指定地点（上海浦东）</w:t>
      </w:r>
    </w:p>
    <w:p>
      <w:pPr>
        <w:pStyle w:val="ListNumber"/>
      </w:pPr>
      <w:r>
        <w:t>交付内容：包括产品、技术文档、检测报告、质量证明文件等</w:t>
      </w:r>
    </w:p>
    <w:p>
      <w:pPr>
        <w:pStyle w:val="ListNumber"/>
      </w:pPr>
      <w:r>
        <w:t>包装运输：采用专用工装和包装，确保运输过程中产品不受损</w:t>
      </w:r>
    </w:p>
    <w:p>
      <w:r>
        <w:t>四、商务要求</w:t>
      </w:r>
    </w:p>
    <w:p>
      <w:r>
        <w:t>招标文件必须包含以下商务条款：</w:t>
      </w:r>
    </w:p>
    <w:p>
      <w:pPr>
        <w:pStyle w:val="ListNumber"/>
      </w:pPr>
      <w:r>
        <w:t>投标保证金：人民币100万元，投标截止前到账</w:t>
      </w:r>
    </w:p>
    <w:p>
      <w:pPr>
        <w:pStyle w:val="ListNumber"/>
      </w:pPr>
      <w:r>
        <w:t>付款方式：合同签订后支付30%预付款，交付验收合格后支付65%，质保期满后支付5%</w:t>
      </w:r>
    </w:p>
    <w:p>
      <w:pPr>
        <w:pStyle w:val="ListNumber"/>
      </w:pPr>
      <w:r>
        <w:t>质保期：自交付验收合格之日起36个月</w:t>
      </w:r>
    </w:p>
    <w:p>
      <w:pPr>
        <w:pStyle w:val="ListNumber"/>
      </w:pPr>
      <w:r>
        <w:t>违约责任：延期交付按合同金额每日0.5‰支付违约金</w:t>
      </w:r>
    </w:p>
    <w:p>
      <w:pPr>
        <w:pStyle w:val="ListNumber"/>
      </w:pPr>
      <w:r>
        <w:t>知识产权：投标方需保证不侵犯第三方知识产权，并承担相应责任</w:t>
      </w:r>
    </w:p>
    <w:p>
      <w:r>
        <w:t>五、投标人资格要求</w:t>
      </w:r>
    </w:p>
    <w:p>
      <w:r>
        <w:t>招标文件必须明确以下投标人资格要求：</w:t>
      </w:r>
    </w:p>
    <w:p>
      <w:pPr>
        <w:pStyle w:val="ListNumber"/>
      </w:pPr>
      <w:r>
        <w:t>具有独立法人资格，注册资金不低于5000万元人民币</w:t>
      </w:r>
    </w:p>
    <w:p>
      <w:pPr>
        <w:pStyle w:val="ListNumber"/>
      </w:pPr>
      <w:r>
        <w:t>具有航空制造相关资质，近三年内承担过类似项目</w:t>
      </w:r>
    </w:p>
    <w:p>
      <w:pPr>
        <w:pStyle w:val="ListNumber"/>
      </w:pPr>
      <w:r>
        <w:t>具有完善的质量管理体系，通过AS9100认证</w:t>
      </w:r>
    </w:p>
    <w:p>
      <w:pPr>
        <w:pStyle w:val="ListNumber"/>
      </w:pPr>
      <w:r>
        <w:t>财务状况良好，无重大诉讼和不良信用记录</w:t>
      </w:r>
    </w:p>
    <w:p>
      <w:pPr>
        <w:pStyle w:val="ListNumber"/>
      </w:pPr>
      <w:r>
        <w:t>具有相应的技术团队和生产设备</w:t>
      </w:r>
    </w:p>
    <w:p>
      <w:pPr>
        <w:pStyle w:val="ListNumber"/>
      </w:pPr>
      <w:r>
        <w:t>未被列入失信被执行人名单</w:t>
      </w:r>
    </w:p>
    <w:p>
      <w:r>
        <w:t>六、评分细则</w:t>
      </w:r>
    </w:p>
    <w:p>
      <w:r>
        <w:t>招标文件必须包含详细的评分细则，采用综合评分法，总分100分。评分标准如下表：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评分项目</w:t>
            </w:r>
          </w:p>
        </w:tc>
        <w:tc>
          <w:tcPr>
            <w:tcW w:type="dxa" w:w="2160"/>
          </w:tcPr>
          <w:p>
            <w:r>
              <w:t>分值</w:t>
            </w:r>
          </w:p>
        </w:tc>
        <w:tc>
          <w:tcPr>
            <w:tcW w:type="dxa" w:w="2160"/>
          </w:tcPr>
          <w:p>
            <w:r>
              <w:t>评分标准</w:t>
            </w:r>
          </w:p>
        </w:tc>
        <w:tc>
          <w:tcPr>
            <w:tcW w:type="dxa" w:w="2160"/>
          </w:tcPr>
          <w:p>
            <w:r>
              <w:t>备注</w:t>
            </w:r>
          </w:p>
        </w:tc>
      </w:tr>
      <w:tr>
        <w:tc>
          <w:tcPr>
            <w:tcW w:type="dxa" w:w="2160"/>
          </w:tcPr>
          <w:p>
            <w:r>
              <w:t>技术方案</w:t>
            </w:r>
          </w:p>
        </w:tc>
        <w:tc>
          <w:tcPr>
            <w:tcW w:type="dxa" w:w="2160"/>
          </w:tcPr>
          <w:p>
            <w:r>
              <w:t>30分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制造工艺方案</w:t>
            </w:r>
          </w:p>
        </w:tc>
        <w:tc>
          <w:tcPr>
            <w:tcW w:type="dxa" w:w="2160"/>
          </w:tcPr>
          <w:p>
            <w:r>
              <w:t>12分</w:t>
            </w:r>
          </w:p>
        </w:tc>
        <w:tc>
          <w:tcPr>
            <w:tcW w:type="dxa" w:w="2160"/>
          </w:tcPr>
          <w:p>
            <w:r>
              <w:t>工艺路线清晰、技术先进、可操作性强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质量控制方案</w:t>
            </w:r>
          </w:p>
        </w:tc>
        <w:tc>
          <w:tcPr>
            <w:tcW w:type="dxa" w:w="2160"/>
          </w:tcPr>
          <w:p>
            <w:r>
              <w:t>10分</w:t>
            </w:r>
          </w:p>
        </w:tc>
        <w:tc>
          <w:tcPr>
            <w:tcW w:type="dxa" w:w="2160"/>
          </w:tcPr>
          <w:p>
            <w:r>
              <w:t>质量体系完善、检测手段齐全、追溯性强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技术团队能力</w:t>
            </w:r>
          </w:p>
        </w:tc>
        <w:tc>
          <w:tcPr>
            <w:tcW w:type="dxa" w:w="2160"/>
          </w:tcPr>
          <w:p>
            <w:r>
              <w:t>8分</w:t>
            </w:r>
          </w:p>
        </w:tc>
        <w:tc>
          <w:tcPr>
            <w:tcW w:type="dxa" w:w="2160"/>
          </w:tcPr>
          <w:p>
            <w:r>
              <w:t>团队经验丰富、技术实力强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商务报价</w:t>
            </w:r>
          </w:p>
        </w:tc>
        <w:tc>
          <w:tcPr>
            <w:tcW w:type="dxa" w:w="2160"/>
          </w:tcPr>
          <w:p>
            <w:r>
              <w:t>40分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总报价</w:t>
            </w:r>
          </w:p>
        </w:tc>
        <w:tc>
          <w:tcPr>
            <w:tcW w:type="dxa" w:w="2160"/>
          </w:tcPr>
          <w:p>
            <w:r>
              <w:t>30分</w:t>
            </w:r>
          </w:p>
        </w:tc>
        <w:tc>
          <w:tcPr>
            <w:tcW w:type="dxa" w:w="2160"/>
          </w:tcPr>
          <w:p>
            <w:r>
              <w:t>总价最低者得30分，其他按公式计算（公式：(最低价/投标价)×30）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付款方式</w:t>
            </w:r>
          </w:p>
        </w:tc>
        <w:tc>
          <w:tcPr>
            <w:tcW w:type="dxa" w:w="2160"/>
          </w:tcPr>
          <w:p>
            <w:r>
              <w:t>10分</w:t>
            </w:r>
          </w:p>
        </w:tc>
        <w:tc>
          <w:tcPr>
            <w:tcW w:type="dxa" w:w="2160"/>
          </w:tcPr>
          <w:p>
            <w:r>
              <w:t>付款条件是否有利于招标方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企业资质</w:t>
            </w:r>
          </w:p>
        </w:tc>
        <w:tc>
          <w:tcPr>
            <w:tcW w:type="dxa" w:w="2160"/>
          </w:tcPr>
          <w:p>
            <w:r>
              <w:t>15分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资质认证</w:t>
            </w:r>
          </w:p>
        </w:tc>
        <w:tc>
          <w:tcPr>
            <w:tcW w:type="dxa" w:w="2160"/>
          </w:tcPr>
          <w:p>
            <w:r>
              <w:t>5分</w:t>
            </w:r>
          </w:p>
        </w:tc>
        <w:tc>
          <w:tcPr>
            <w:tcW w:type="dxa" w:w="2160"/>
          </w:tcPr>
          <w:p>
            <w:r>
              <w:t>AS9100认证、适航认证等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类似业绩</w:t>
            </w:r>
          </w:p>
        </w:tc>
        <w:tc>
          <w:tcPr>
            <w:tcW w:type="dxa" w:w="2160"/>
          </w:tcPr>
          <w:p>
            <w:r>
              <w:t>10分</w:t>
            </w:r>
          </w:p>
        </w:tc>
        <w:tc>
          <w:tcPr>
            <w:tcW w:type="dxa" w:w="2160"/>
          </w:tcPr>
          <w:p>
            <w:r>
              <w:t>近三年类似项目经验，每个项目2分，最高10分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交付能力</w:t>
            </w:r>
          </w:p>
        </w:tc>
        <w:tc>
          <w:tcPr>
            <w:tcW w:type="dxa" w:w="2160"/>
          </w:tcPr>
          <w:p>
            <w:r>
              <w:t>10分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生产设备</w:t>
            </w:r>
          </w:p>
        </w:tc>
        <w:tc>
          <w:tcPr>
            <w:tcW w:type="dxa" w:w="2160"/>
          </w:tcPr>
          <w:p>
            <w:r>
              <w:t>5分</w:t>
            </w:r>
          </w:p>
        </w:tc>
        <w:tc>
          <w:tcPr>
            <w:tcW w:type="dxa" w:w="2160"/>
          </w:tcPr>
          <w:p>
            <w:r>
              <w:t>设备先进、满足生产需求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交付计划</w:t>
            </w:r>
          </w:p>
        </w:tc>
        <w:tc>
          <w:tcPr>
            <w:tcW w:type="dxa" w:w="2160"/>
          </w:tcPr>
          <w:p>
            <w:r>
              <w:t>5分</w:t>
            </w:r>
          </w:p>
        </w:tc>
        <w:tc>
          <w:tcPr>
            <w:tcW w:type="dxa" w:w="2160"/>
          </w:tcPr>
          <w:p>
            <w:r>
              <w:t>计划合理、可执行性强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服务保障</w:t>
            </w:r>
          </w:p>
        </w:tc>
        <w:tc>
          <w:tcPr>
            <w:tcW w:type="dxa" w:w="2160"/>
          </w:tcPr>
          <w:p>
            <w:r>
              <w:t>5分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服务保障</w:t>
            </w:r>
          </w:p>
        </w:tc>
        <w:tc>
          <w:tcPr>
            <w:tcW w:type="dxa" w:w="2160"/>
          </w:tcPr>
          <w:p>
            <w:r>
              <w:t>5分</w:t>
            </w:r>
          </w:p>
        </w:tc>
        <w:tc>
          <w:tcPr>
            <w:tcW w:type="dxa" w:w="2160"/>
          </w:tcPr>
          <w:p>
            <w:r>
              <w:t>售后服务、技术支持、培训</w:t>
            </w:r>
          </w:p>
        </w:tc>
        <w:tc>
          <w:tcPr>
            <w:tcW w:type="dxa" w:w="2160"/>
          </w:tcPr>
          <w:p>
            <w:r/>
          </w:p>
        </w:tc>
      </w:tr>
    </w:tbl>
    <w:p>
      <w:r>
        <w:t>七、标书格式要求</w:t>
      </w:r>
    </w:p>
    <w:p>
      <w:r>
        <w:t>招标文件必须明确标书格式要求，包括：</w:t>
      </w:r>
    </w:p>
    <w:p>
      <w:r>
        <w:t>7.1 章节结构要求</w:t>
      </w:r>
    </w:p>
    <w:p>
      <w:r>
        <w:t>投标文件必须包含以下章节，且章节顺序不得更改：</w:t>
      </w:r>
    </w:p>
    <w:p>
      <w:pPr>
        <w:pStyle w:val="ListNumber"/>
      </w:pPr>
      <w:r>
        <w:t>一、投标函</w:t>
      </w:r>
    </w:p>
    <w:p>
      <w:pPr>
        <w:pStyle w:val="ListBullet"/>
      </w:pPr>
      <w:r>
        <w:t>必须包含：投标总价、交付周期、质保期、有效期、法定代表人签字</w:t>
      </w:r>
    </w:p>
    <w:p>
      <w:pPr>
        <w:pStyle w:val="ListNumber"/>
      </w:pPr>
      <w:r>
        <w:t>二、企业概况</w:t>
      </w:r>
    </w:p>
    <w:p>
      <w:pPr>
        <w:pStyle w:val="ListBullet"/>
      </w:pPr>
      <w:r>
        <w:t>2.1 企业简介</w:t>
      </w:r>
    </w:p>
    <w:p>
      <w:pPr>
        <w:pStyle w:val="ListBullet"/>
      </w:pPr>
      <w:r>
        <w:t>2.2 资质认证</w:t>
      </w:r>
    </w:p>
    <w:p>
      <w:pPr>
        <w:pStyle w:val="ListBullet"/>
      </w:pPr>
      <w:r>
        <w:t>必须包含：企业名称、注册地址、注册资本、成立时间、社会信用代码、法定代表人</w:t>
      </w:r>
    </w:p>
    <w:p>
      <w:pPr>
        <w:pStyle w:val="ListNumber"/>
      </w:pPr>
      <w:r>
        <w:t>三、技术方案</w:t>
      </w:r>
    </w:p>
    <w:p>
      <w:pPr>
        <w:pStyle w:val="ListBullet"/>
      </w:pPr>
      <w:r>
        <w:t>3.1 制造工艺方案</w:t>
      </w:r>
    </w:p>
    <w:p>
      <w:pPr>
        <w:pStyle w:val="ListBullet"/>
      </w:pPr>
      <w:r>
        <w:t>3.2 质量控制方案</w:t>
      </w:r>
    </w:p>
    <w:p>
      <w:pPr>
        <w:pStyle w:val="ListBullet"/>
      </w:pPr>
      <w:r>
        <w:t>3.3 技术团队</w:t>
      </w:r>
    </w:p>
    <w:p>
      <w:pPr>
        <w:pStyle w:val="ListNumber"/>
      </w:pPr>
      <w:r>
        <w:t>四、类似业绩</w:t>
      </w:r>
    </w:p>
    <w:p>
      <w:pPr>
        <w:pStyle w:val="ListBullet"/>
      </w:pPr>
      <w:r>
        <w:t>必须包含：项目名称、项目时间、项目内容、合同金额</w:t>
      </w:r>
    </w:p>
    <w:p>
      <w:pPr>
        <w:pStyle w:val="ListNumber"/>
      </w:pPr>
      <w:r>
        <w:t>五、生产设备</w:t>
      </w:r>
    </w:p>
    <w:p>
      <w:pPr>
        <w:pStyle w:val="ListBullet"/>
      </w:pPr>
      <w:r>
        <w:t>必须包含：设备名称、型号规格、数量、制造商</w:t>
      </w:r>
    </w:p>
    <w:p>
      <w:pPr>
        <w:pStyle w:val="ListNumber"/>
      </w:pPr>
      <w:r>
        <w:t>六、交付计划</w:t>
      </w:r>
    </w:p>
    <w:p>
      <w:pPr>
        <w:pStyle w:val="ListBullet"/>
      </w:pPr>
      <w:r>
        <w:t>必须包含：各阶段工作内容和完成时间</w:t>
      </w:r>
    </w:p>
    <w:p>
      <w:pPr>
        <w:pStyle w:val="ListNumber"/>
      </w:pPr>
      <w:r>
        <w:t>七、商务报价</w:t>
      </w:r>
    </w:p>
    <w:p>
      <w:pPr>
        <w:pStyle w:val="ListBullet"/>
      </w:pPr>
      <w:r>
        <w:t>必须包含：报价明细、总报价、付款方式</w:t>
      </w:r>
    </w:p>
    <w:p>
      <w:pPr>
        <w:pStyle w:val="ListNumber"/>
      </w:pPr>
      <w:r>
        <w:t>八、服务保障</w:t>
      </w:r>
    </w:p>
    <w:p>
      <w:pPr>
        <w:pStyle w:val="ListBullet"/>
      </w:pPr>
      <w:r>
        <w:t>必须包含：售后服务、技术支持、培训服务</w:t>
      </w:r>
    </w:p>
    <w:p>
      <w:pPr>
        <w:pStyle w:val="ListNumber"/>
      </w:pPr>
      <w:r>
        <w:t>九、附件清单</w:t>
      </w:r>
    </w:p>
    <w:p>
      <w:r>
        <w:t>注：缺少任何章节或章节顺序不符合要求的，视为格式不符合要求。</w:t>
      </w:r>
    </w:p>
    <w:p>
      <w:r>
        <w:t>7.2 格式评分</w:t>
      </w:r>
    </w:p>
    <w:p>
      <w:r>
        <w:t>标书格式符合性将作为评分项之一，总分5分：</w:t>
      </w:r>
    </w:p>
    <w:p>
      <w:pPr>
        <w:pStyle w:val="ListBullet"/>
      </w:pPr>
      <w:r>
        <w:t>完全符合格式要求（所有章节齐全、顺序正确、内容完整）：5分</w:t>
      </w:r>
    </w:p>
    <w:p>
      <w:pPr>
        <w:pStyle w:val="ListBullet"/>
      </w:pPr>
      <w:r>
        <w:t>基本符合，有轻微不符合项：3-4分</w:t>
      </w:r>
    </w:p>
    <w:p>
      <w:pPr>
        <w:pStyle w:val="ListBullet"/>
      </w:pPr>
      <w:r>
        <w:t>部分符合，有明显不符合项（如缺少重要章节）：1-2分</w:t>
      </w:r>
    </w:p>
    <w:p>
      <w:pPr>
        <w:pStyle w:val="ListBullet"/>
      </w:pPr>
      <w:r>
        <w:t>严重不符合格式要求：0分，且可能被判定为无效投标</w:t>
      </w:r>
    </w:p>
    <w:p>
      <w:r>
        <w:t>八、其他说明</w:t>
      </w:r>
    </w:p>
    <w:p>
      <w:r>
        <w:t>招标文件应包含以下其他说明：</w:t>
      </w:r>
    </w:p>
    <w:p>
      <w:pPr>
        <w:pStyle w:val="ListNumber"/>
      </w:pPr>
      <w:r>
        <w:t>投标文件需密封提交，一式五份（正本一份，副本四份）</w:t>
      </w:r>
    </w:p>
    <w:p>
      <w:pPr>
        <w:pStyle w:val="ListNumber"/>
      </w:pPr>
      <w:r>
        <w:t>投标文件应包括：投标函、技术方案、商务报价、资质证明、业绩证明等</w:t>
      </w:r>
    </w:p>
    <w:p>
      <w:pPr>
        <w:pStyle w:val="ListNumber"/>
      </w:pPr>
      <w:r>
        <w:t>开标时间：2024年5月5日 9:00（北京时间）</w:t>
      </w:r>
    </w:p>
    <w:p>
      <w:pPr>
        <w:pStyle w:val="ListNumber"/>
      </w:pPr>
      <w:r>
        <w:t>评标结果将在开标后15个工作日内公布</w:t>
      </w:r>
    </w:p>
    <w:p>
      <w:pPr>
        <w:pStyle w:val="ListNumber"/>
      </w:pPr>
      <w:r>
        <w:t>招标方保留对招标文件的解释权</w:t>
      </w:r>
    </w:p>
    <w:p>
      <w:r>
        <w:t>九、联系方式</w:t>
      </w:r>
    </w:p>
    <w:p>
      <w:r>
        <w:t>招标文件必须包含以下联系方式：</w:t>
      </w:r>
    </w:p>
    <w:p>
      <w:pPr>
        <w:pStyle w:val="ListBullet"/>
      </w:pPr>
      <w:r>
        <w:t>招标单位：中国商用飞机有限责任公司</w:t>
      </w:r>
    </w:p>
    <w:p>
      <w:pPr>
        <w:pStyle w:val="ListBullet"/>
      </w:pPr>
      <w:r>
        <w:t>联系人：张工程师</w:t>
      </w:r>
    </w:p>
    <w:p>
      <w:pPr>
        <w:pStyle w:val="ListBullet"/>
      </w:pPr>
      <w:r>
        <w:t>联系电话：021-12345678</w:t>
      </w:r>
    </w:p>
    <w:p>
      <w:pPr>
        <w:pStyle w:val="ListBullet"/>
      </w:pPr>
      <w:r>
        <w:t>电子邮箱：tender@comac.cc</w:t>
      </w:r>
    </w:p>
    <w:p>
      <w:pPr>
        <w:pStyle w:val="ListBullet"/>
      </w:pPr>
      <w:r>
        <w:t>地址：上海市浦东新区上飞路919号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黑体" w:hAnsi="黑体"/>
      <w:b/>
      <w:bCs/>
      <w:i/>
      <w:iCs/>
      <w:color w:val="4F81BD" w:themeColor="accent1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黑体" w:hAnsi="黑体"/>
      <w:b/>
      <w:color w:val="243F60" w:themeColor="accent1" w:themeShade="7F"/>
      <w:sz w:val="1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黑体" w:hAnsi="黑体"/>
      <w:b/>
      <w:i/>
      <w:iCs/>
      <w:color w:val="243F60" w:themeColor="accent1" w:themeShade="7F"/>
      <w:sz w:val="1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