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B01" w:rsidRPr="00B87B01" w:rsidRDefault="00B87B01" w:rsidP="00B87B01">
      <w:pPr>
        <w:widowControl/>
        <w:shd w:val="clear" w:color="auto" w:fill="FFFFFF"/>
        <w:spacing w:before="100" w:beforeAutospacing="1" w:after="100" w:afterAutospacing="1" w:line="420" w:lineRule="atLeast"/>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样式一</w:t>
      </w:r>
    </w:p>
    <w:p w:rsidR="00B87B01" w:rsidRPr="00B87B01" w:rsidRDefault="00B87B01" w:rsidP="00B87B01">
      <w:pPr>
        <w:widowControl/>
        <w:shd w:val="clear" w:color="auto" w:fill="FFFFFF"/>
        <w:spacing w:before="100" w:beforeAutospacing="1" w:after="100" w:afterAutospacing="1" w:line="420" w:lineRule="atLeast"/>
        <w:jc w:val="center"/>
        <w:rPr>
          <w:rFonts w:ascii="Arial" w:eastAsia="宋体" w:hAnsi="Arial" w:cs="Arial"/>
          <w:color w:val="000000"/>
          <w:kern w:val="0"/>
          <w:szCs w:val="21"/>
        </w:rPr>
      </w:pPr>
      <w:r w:rsidRPr="00B87B01">
        <w:rPr>
          <w:rFonts w:ascii="华文中宋" w:eastAsia="华文中宋" w:hAnsi="华文中宋" w:cs="Arial" w:hint="eastAsia"/>
          <w:color w:val="000000"/>
          <w:kern w:val="0"/>
          <w:sz w:val="44"/>
          <w:szCs w:val="44"/>
        </w:rPr>
        <w:t>×××人民法院</w:t>
      </w:r>
    </w:p>
    <w:p w:rsidR="00B87B01" w:rsidRPr="00B87B01" w:rsidRDefault="00B87B01" w:rsidP="00B87B01">
      <w:pPr>
        <w:widowControl/>
        <w:shd w:val="clear" w:color="auto" w:fill="FFFFFF"/>
        <w:spacing w:before="100" w:beforeAutospacing="1" w:after="100" w:afterAutospacing="1" w:line="420" w:lineRule="atLeast"/>
        <w:jc w:val="center"/>
        <w:rPr>
          <w:rFonts w:ascii="Arial" w:eastAsia="宋体" w:hAnsi="Arial" w:cs="Arial"/>
          <w:color w:val="000000"/>
          <w:kern w:val="0"/>
          <w:szCs w:val="21"/>
        </w:rPr>
      </w:pPr>
      <w:r w:rsidRPr="00B87B01">
        <w:rPr>
          <w:rFonts w:ascii="宋体" w:eastAsia="宋体" w:hAnsi="宋体" w:cs="Arial" w:hint="eastAsia"/>
          <w:b/>
          <w:bCs/>
          <w:color w:val="000000"/>
          <w:kern w:val="0"/>
          <w:sz w:val="44"/>
          <w:szCs w:val="44"/>
        </w:rPr>
        <w:t>小 额 诉 </w:t>
      </w:r>
      <w:proofErr w:type="gramStart"/>
      <w:r w:rsidRPr="00B87B01">
        <w:rPr>
          <w:rFonts w:ascii="宋体" w:eastAsia="宋体" w:hAnsi="宋体" w:cs="Arial" w:hint="eastAsia"/>
          <w:b/>
          <w:bCs/>
          <w:color w:val="000000"/>
          <w:kern w:val="0"/>
          <w:sz w:val="44"/>
          <w:szCs w:val="44"/>
        </w:rPr>
        <w:t>讼</w:t>
      </w:r>
      <w:proofErr w:type="gramEnd"/>
      <w:r w:rsidRPr="00B87B01">
        <w:rPr>
          <w:rFonts w:ascii="宋体" w:eastAsia="宋体" w:hAnsi="宋体" w:cs="Arial" w:hint="eastAsia"/>
          <w:b/>
          <w:bCs/>
          <w:color w:val="000000"/>
          <w:kern w:val="0"/>
          <w:sz w:val="44"/>
          <w:szCs w:val="44"/>
        </w:rPr>
        <w:t> 须 知</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一、基层人民法院和它派出的法庭审理事实清楚、权利义务关系明确、争议不大的、单一金钱给付的简单民事案件，标的额为各省、自治区、直辖市上年度就业人员年平均工资百分之三十以下的，适用小额诉讼程序。</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二、小额诉讼案件诉讼标的限额由浙江省高级人民法院根据法律规定的标准每年定期发布。</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三、可以适用小额诉讼程序审理的案件类型包括：（</w:t>
      </w:r>
      <w:r w:rsidRPr="00B87B01">
        <w:rPr>
          <w:rFonts w:ascii="宋体" w:eastAsia="宋体" w:hAnsi="宋体" w:cs="Arial" w:hint="eastAsia"/>
          <w:color w:val="000000"/>
          <w:kern w:val="0"/>
          <w:szCs w:val="21"/>
        </w:rPr>
        <w:t>1</w:t>
      </w:r>
      <w:r w:rsidRPr="00B87B01">
        <w:rPr>
          <w:rFonts w:ascii="仿宋_GB2312" w:eastAsia="仿宋_GB2312" w:hAnsi="Arial" w:cs="Arial" w:hint="eastAsia"/>
          <w:color w:val="000000"/>
          <w:kern w:val="0"/>
          <w:szCs w:val="21"/>
        </w:rPr>
        <w:t>）买卖合同纠纷、借款合同纠纷、租赁合同纠纷和服务合同纠纷案件；（</w:t>
      </w:r>
      <w:r w:rsidRPr="00B87B01">
        <w:rPr>
          <w:rFonts w:ascii="宋体" w:eastAsia="宋体" w:hAnsi="宋体" w:cs="Arial" w:hint="eastAsia"/>
          <w:color w:val="000000"/>
          <w:kern w:val="0"/>
          <w:szCs w:val="21"/>
        </w:rPr>
        <w:t>2</w:t>
      </w:r>
      <w:r w:rsidRPr="00B87B01">
        <w:rPr>
          <w:rFonts w:ascii="仿宋_GB2312" w:eastAsia="仿宋_GB2312" w:hAnsi="Arial" w:cs="Arial" w:hint="eastAsia"/>
          <w:color w:val="000000"/>
          <w:kern w:val="0"/>
          <w:szCs w:val="21"/>
        </w:rPr>
        <w:t>）身份关系清楚，仅在给付的数额、时间上存在争议的抚养费、赡养费、扶养费纠纷案件；（</w:t>
      </w:r>
      <w:r w:rsidRPr="00B87B01">
        <w:rPr>
          <w:rFonts w:ascii="宋体" w:eastAsia="宋体" w:hAnsi="宋体" w:cs="Arial" w:hint="eastAsia"/>
          <w:color w:val="000000"/>
          <w:kern w:val="0"/>
          <w:szCs w:val="21"/>
        </w:rPr>
        <w:t>3</w:t>
      </w:r>
      <w:r w:rsidRPr="00B87B01">
        <w:rPr>
          <w:rFonts w:ascii="仿宋_GB2312" w:eastAsia="仿宋_GB2312" w:hAnsi="Arial" w:cs="Arial" w:hint="eastAsia"/>
          <w:color w:val="000000"/>
          <w:kern w:val="0"/>
          <w:szCs w:val="21"/>
        </w:rPr>
        <w:t>）道路交通事故损害赔偿和其他人身损害赔偿纠纷案件；（</w:t>
      </w:r>
      <w:r w:rsidRPr="00B87B01">
        <w:rPr>
          <w:rFonts w:ascii="宋体" w:eastAsia="宋体" w:hAnsi="宋体" w:cs="Arial" w:hint="eastAsia"/>
          <w:color w:val="000000"/>
          <w:kern w:val="0"/>
          <w:szCs w:val="21"/>
        </w:rPr>
        <w:t>4</w:t>
      </w:r>
      <w:r w:rsidRPr="00B87B01">
        <w:rPr>
          <w:rFonts w:ascii="仿宋_GB2312" w:eastAsia="仿宋_GB2312" w:hAnsi="Arial" w:cs="Arial" w:hint="eastAsia"/>
          <w:color w:val="000000"/>
          <w:kern w:val="0"/>
          <w:szCs w:val="21"/>
        </w:rPr>
        <w:t>）劳动关系清楚，仅在劳动报酬、工伤医疗费、经济补偿金或者赔偿金的给付数额和给付时间上存在争议的劳动纠纷案件；（</w:t>
      </w:r>
      <w:r w:rsidRPr="00B87B01">
        <w:rPr>
          <w:rFonts w:ascii="宋体" w:eastAsia="宋体" w:hAnsi="宋体" w:cs="Arial" w:hint="eastAsia"/>
          <w:color w:val="000000"/>
          <w:kern w:val="0"/>
          <w:szCs w:val="21"/>
        </w:rPr>
        <w:t>5</w:t>
      </w:r>
      <w:r w:rsidRPr="00B87B01">
        <w:rPr>
          <w:rFonts w:ascii="仿宋_GB2312" w:eastAsia="仿宋_GB2312" w:hAnsi="Arial" w:cs="Arial" w:hint="eastAsia"/>
          <w:color w:val="000000"/>
          <w:kern w:val="0"/>
          <w:szCs w:val="21"/>
        </w:rPr>
        <w:t>）劳务关系清楚，仅在劳务报酬的给付数额和给付时间上存在争议的劳务纠纷案件；（</w:t>
      </w:r>
      <w:r w:rsidRPr="00B87B01">
        <w:rPr>
          <w:rFonts w:ascii="宋体" w:eastAsia="宋体" w:hAnsi="宋体" w:cs="Arial" w:hint="eastAsia"/>
          <w:color w:val="000000"/>
          <w:kern w:val="0"/>
          <w:szCs w:val="21"/>
        </w:rPr>
        <w:t>6</w:t>
      </w:r>
      <w:r w:rsidRPr="00B87B01">
        <w:rPr>
          <w:rFonts w:ascii="仿宋_GB2312" w:eastAsia="仿宋_GB2312" w:hAnsi="Arial" w:cs="Arial" w:hint="eastAsia"/>
          <w:color w:val="000000"/>
          <w:kern w:val="0"/>
          <w:szCs w:val="21"/>
        </w:rPr>
        <w:t>）其他事实清楚、权利义务关系明确的金钱给付案件。</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海事法院依据海事诉讼特别程序法第九十八条规定审理的简单海事案件，可以适用小额诉讼程序审理。</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四、对符合适用小额诉讼程序其它条件，但案件标的额在规定标准以上、</w:t>
      </w:r>
      <w:r w:rsidRPr="00B87B01">
        <w:rPr>
          <w:rFonts w:ascii="宋体" w:eastAsia="宋体" w:hAnsi="宋体" w:cs="Arial" w:hint="eastAsia"/>
          <w:color w:val="000000"/>
          <w:kern w:val="0"/>
          <w:szCs w:val="21"/>
        </w:rPr>
        <w:t>10</w:t>
      </w:r>
      <w:r w:rsidRPr="00B87B01">
        <w:rPr>
          <w:rFonts w:ascii="仿宋_GB2312" w:eastAsia="仿宋_GB2312" w:hAnsi="Arial" w:cs="Arial" w:hint="eastAsia"/>
          <w:color w:val="000000"/>
          <w:kern w:val="0"/>
          <w:szCs w:val="21"/>
        </w:rPr>
        <w:t>万元以下的案件，开庭审理前经双方当事人同意，可以适用小额诉讼程序审理。</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lastRenderedPageBreak/>
        <w:t>五、当事人对适用小额诉讼程序有异议的，应在庭审前提出。异议应以书面形式并具体列明案件不适用小额诉讼程序的事实与理由。</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六、当事人明确表示放弃答辩期和举证期限的，可以当即开庭审理。不放弃答辩期或举证期限的，由当事人约定或者人民法院指定，但答辩期一般不超过</w:t>
      </w:r>
      <w:r w:rsidRPr="00B87B01">
        <w:rPr>
          <w:rFonts w:ascii="宋体" w:eastAsia="宋体" w:hAnsi="宋体" w:cs="Arial" w:hint="eastAsia"/>
          <w:color w:val="000000"/>
          <w:kern w:val="0"/>
          <w:szCs w:val="21"/>
        </w:rPr>
        <w:t>7</w:t>
      </w:r>
      <w:r w:rsidRPr="00B87B01">
        <w:rPr>
          <w:rFonts w:ascii="仿宋_GB2312" w:eastAsia="仿宋_GB2312" w:hAnsi="Arial" w:cs="Arial" w:hint="eastAsia"/>
          <w:color w:val="000000"/>
          <w:kern w:val="0"/>
          <w:szCs w:val="21"/>
        </w:rPr>
        <w:t>日，举证期限一般不超过</w:t>
      </w:r>
      <w:r w:rsidRPr="00B87B01">
        <w:rPr>
          <w:rFonts w:ascii="宋体" w:eastAsia="宋体" w:hAnsi="宋体" w:cs="Arial" w:hint="eastAsia"/>
          <w:color w:val="000000"/>
          <w:kern w:val="0"/>
          <w:szCs w:val="21"/>
        </w:rPr>
        <w:t>10</w:t>
      </w:r>
      <w:r w:rsidRPr="00B87B01">
        <w:rPr>
          <w:rFonts w:ascii="仿宋_GB2312" w:eastAsia="仿宋_GB2312" w:hAnsi="Arial" w:cs="Arial" w:hint="eastAsia"/>
          <w:color w:val="000000"/>
          <w:kern w:val="0"/>
          <w:szCs w:val="21"/>
        </w:rPr>
        <w:t>日。</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七、当事人经传唤无正当理由拒不到庭，或者未经法庭许可中途退庭的，不影响适用小额诉讼程序。</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八、立案后可以委托人民调解组织调解，也可以在庭前、庭审、庭后等环节组织当事人调解。</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九、小额诉讼案件一审终审，当事人不得提起上诉。当事人对已经发生法律效力的判决、裁定，认为有错误的，可以申请再审。当事人申请再审的，可以向原审人民法院申请再审。</w:t>
      </w:r>
    </w:p>
    <w:p w:rsidR="00B87B01" w:rsidRPr="00B87B01" w:rsidRDefault="00B87B01" w:rsidP="00B87B01">
      <w:pPr>
        <w:widowControl/>
        <w:jc w:val="left"/>
        <w:rPr>
          <w:rFonts w:ascii="宋体" w:eastAsia="宋体" w:hAnsi="宋体" w:cs="宋体"/>
          <w:kern w:val="0"/>
          <w:sz w:val="24"/>
          <w:szCs w:val="24"/>
        </w:rPr>
      </w:pPr>
      <w:r w:rsidRPr="00B87B01">
        <w:rPr>
          <w:rFonts w:ascii="Times New Roman" w:eastAsia="宋体" w:hAnsi="Times New Roman" w:cs="Times New Roman"/>
          <w:color w:val="000000"/>
          <w:kern w:val="0"/>
          <w:szCs w:val="21"/>
          <w:shd w:val="clear" w:color="auto" w:fill="FFFFFF"/>
        </w:rPr>
        <w:br/>
      </w:r>
    </w:p>
    <w:p w:rsidR="00B87B01" w:rsidRPr="00B87B01" w:rsidRDefault="00B87B01" w:rsidP="00B87B01">
      <w:pPr>
        <w:widowControl/>
        <w:shd w:val="clear" w:color="auto" w:fill="FFFFFF"/>
        <w:spacing w:before="100" w:beforeAutospacing="1" w:after="100" w:afterAutospacing="1" w:line="420" w:lineRule="atLeast"/>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样式二</w:t>
      </w:r>
    </w:p>
    <w:p w:rsidR="00B87B01" w:rsidRPr="00B87B01" w:rsidRDefault="00B87B01" w:rsidP="00B87B01">
      <w:pPr>
        <w:widowControl/>
        <w:shd w:val="clear" w:color="auto" w:fill="FFFFFF"/>
        <w:spacing w:before="100" w:beforeAutospacing="1" w:after="100" w:afterAutospacing="1" w:line="420" w:lineRule="atLeast"/>
        <w:jc w:val="center"/>
        <w:rPr>
          <w:rFonts w:ascii="Arial" w:eastAsia="宋体" w:hAnsi="Arial" w:cs="Arial"/>
          <w:color w:val="000000"/>
          <w:kern w:val="0"/>
          <w:szCs w:val="21"/>
        </w:rPr>
      </w:pPr>
      <w:r w:rsidRPr="00B87B01">
        <w:rPr>
          <w:rFonts w:ascii="华文中宋" w:eastAsia="华文中宋" w:hAnsi="华文中宋" w:cs="Arial" w:hint="eastAsia"/>
          <w:color w:val="000000"/>
          <w:kern w:val="0"/>
          <w:sz w:val="44"/>
          <w:szCs w:val="44"/>
        </w:rPr>
        <w:t>×××人民法院</w:t>
      </w:r>
    </w:p>
    <w:p w:rsidR="00B87B01" w:rsidRPr="00B87B01" w:rsidRDefault="00B87B01" w:rsidP="00B87B01">
      <w:pPr>
        <w:widowControl/>
        <w:shd w:val="clear" w:color="auto" w:fill="FFFFFF"/>
        <w:spacing w:before="100" w:beforeAutospacing="1" w:after="100" w:afterAutospacing="1" w:line="420" w:lineRule="atLeast"/>
        <w:jc w:val="center"/>
        <w:rPr>
          <w:rFonts w:ascii="Arial" w:eastAsia="宋体" w:hAnsi="Arial" w:cs="Arial"/>
          <w:color w:val="000000"/>
          <w:kern w:val="0"/>
          <w:szCs w:val="21"/>
        </w:rPr>
      </w:pPr>
      <w:r w:rsidRPr="00B87B01">
        <w:rPr>
          <w:rFonts w:ascii="宋体" w:eastAsia="宋体" w:hAnsi="宋体" w:cs="Arial" w:hint="eastAsia"/>
          <w:b/>
          <w:bCs/>
          <w:color w:val="000000"/>
          <w:kern w:val="0"/>
          <w:sz w:val="44"/>
          <w:szCs w:val="44"/>
        </w:rPr>
        <w:t>小额诉讼程序选择确认书</w:t>
      </w:r>
    </w:p>
    <w:p w:rsidR="00B87B01" w:rsidRPr="00B87B01" w:rsidRDefault="00B87B01" w:rsidP="00B87B01">
      <w:pPr>
        <w:widowControl/>
        <w:shd w:val="clear" w:color="auto" w:fill="FFFFFF"/>
        <w:spacing w:before="100" w:beforeAutospacing="1" w:after="100" w:afterAutospacing="1" w:line="420" w:lineRule="atLeast"/>
        <w:jc w:val="right"/>
        <w:rPr>
          <w:rFonts w:ascii="Arial" w:eastAsia="宋体" w:hAnsi="Arial" w:cs="Arial"/>
          <w:color w:val="000000"/>
          <w:kern w:val="0"/>
          <w:szCs w:val="21"/>
        </w:rPr>
      </w:pPr>
      <w:r w:rsidRPr="00B87B01">
        <w:rPr>
          <w:rFonts w:ascii="仿宋_GB2312" w:eastAsia="仿宋_GB2312" w:hAnsi="Arial" w:cs="Arial" w:hint="eastAsia"/>
          <w:color w:val="000000"/>
          <w:kern w:val="0"/>
          <w:szCs w:val="21"/>
        </w:rPr>
        <w:lastRenderedPageBreak/>
        <w:t>(201</w:t>
      </w:r>
      <w:r w:rsidRPr="00B87B01">
        <w:rPr>
          <w:rFonts w:ascii="仿宋_GB2312" w:eastAsia="仿宋_GB2312" w:hAnsi="Arial" w:cs="Arial" w:hint="eastAsia"/>
          <w:color w:val="000000"/>
          <w:kern w:val="0"/>
          <w:sz w:val="30"/>
          <w:szCs w:val="30"/>
        </w:rPr>
        <w:t>×</w:t>
      </w:r>
      <w:r w:rsidRPr="00B87B01">
        <w:rPr>
          <w:rFonts w:ascii="仿宋_GB2312" w:eastAsia="仿宋_GB2312" w:hAnsi="Arial" w:cs="Arial" w:hint="eastAsia"/>
          <w:color w:val="000000"/>
          <w:kern w:val="0"/>
          <w:szCs w:val="21"/>
        </w:rPr>
        <w:t>)×民/商初字第</w:t>
      </w:r>
      <w:r w:rsidRPr="00B87B01">
        <w:rPr>
          <w:rFonts w:ascii="仿宋_GB2312" w:eastAsia="仿宋_GB2312" w:hAnsi="Arial" w:cs="Arial" w:hint="eastAsia"/>
          <w:color w:val="000000"/>
          <w:kern w:val="0"/>
          <w:sz w:val="30"/>
          <w:szCs w:val="30"/>
        </w:rPr>
        <w:t>××</w:t>
      </w:r>
      <w:r w:rsidRPr="00B87B01">
        <w:rPr>
          <w:rFonts w:ascii="仿宋_GB2312" w:eastAsia="仿宋_GB2312" w:hAnsi="Arial" w:cs="Arial" w:hint="eastAsia"/>
          <w:color w:val="000000"/>
          <w:kern w:val="0"/>
          <w:szCs w:val="21"/>
        </w:rPr>
        <w:t>号</w:t>
      </w:r>
    </w:p>
    <w:p w:rsidR="00B87B01" w:rsidRPr="00B87B01" w:rsidRDefault="00B87B01" w:rsidP="00B87B01">
      <w:pPr>
        <w:widowControl/>
        <w:shd w:val="clear" w:color="auto" w:fill="FFFFFF"/>
        <w:spacing w:before="100" w:beforeAutospacing="1" w:after="100" w:afterAutospacing="1" w:line="420" w:lineRule="atLeast"/>
        <w:ind w:firstLine="590"/>
        <w:jc w:val="left"/>
        <w:rPr>
          <w:rFonts w:ascii="Arial" w:eastAsia="宋体" w:hAnsi="Arial" w:cs="Arial"/>
          <w:color w:val="000000"/>
          <w:kern w:val="0"/>
          <w:szCs w:val="21"/>
        </w:rPr>
      </w:pPr>
      <w:r w:rsidRPr="00B87B01">
        <w:rPr>
          <w:rFonts w:ascii="仿宋_GB2312" w:eastAsia="仿宋_GB2312" w:hAnsi="Arial" w:cs="Arial" w:hint="eastAsia"/>
          <w:color w:val="000000"/>
          <w:kern w:val="0"/>
          <w:sz w:val="30"/>
          <w:szCs w:val="30"/>
        </w:rPr>
        <w:t>原告×××诉被告×××</w:t>
      </w:r>
      <w:r w:rsidRPr="00B87B01">
        <w:rPr>
          <w:rFonts w:ascii="仿宋_GB2312" w:eastAsia="仿宋_GB2312" w:hAnsi="Arial" w:cs="Arial" w:hint="eastAsia"/>
          <w:color w:val="000000"/>
          <w:kern w:val="0"/>
          <w:sz w:val="30"/>
          <w:szCs w:val="30"/>
        </w:rPr>
        <w:t>  </w:t>
      </w:r>
      <w:r w:rsidRPr="00B87B01">
        <w:rPr>
          <w:rFonts w:ascii="仿宋_GB2312" w:eastAsia="仿宋_GB2312" w:hAnsi="Arial" w:cs="Arial" w:hint="eastAsia"/>
          <w:color w:val="000000"/>
          <w:kern w:val="0"/>
          <w:sz w:val="30"/>
          <w:szCs w:val="30"/>
        </w:rPr>
        <w:t>×××纠纷一案，</w:t>
      </w:r>
      <w:proofErr w:type="gramStart"/>
      <w:r w:rsidRPr="00B87B01">
        <w:rPr>
          <w:rFonts w:ascii="仿宋_GB2312" w:eastAsia="仿宋_GB2312" w:hAnsi="Arial" w:cs="Arial" w:hint="eastAsia"/>
          <w:color w:val="000000"/>
          <w:kern w:val="0"/>
          <w:sz w:val="30"/>
          <w:szCs w:val="30"/>
        </w:rPr>
        <w:t>属</w:t>
      </w:r>
      <w:r w:rsidRPr="00B87B01">
        <w:rPr>
          <w:rFonts w:ascii="仿宋_GB2312" w:eastAsia="仿宋_GB2312" w:hAnsi="Arial" w:cs="Arial" w:hint="eastAsia"/>
          <w:color w:val="000000"/>
          <w:kern w:val="0"/>
          <w:szCs w:val="21"/>
        </w:rPr>
        <w:t>事实</w:t>
      </w:r>
      <w:proofErr w:type="gramEnd"/>
      <w:r w:rsidRPr="00B87B01">
        <w:rPr>
          <w:rFonts w:ascii="仿宋_GB2312" w:eastAsia="仿宋_GB2312" w:hAnsi="Arial" w:cs="Arial" w:hint="eastAsia"/>
          <w:color w:val="000000"/>
          <w:kern w:val="0"/>
          <w:szCs w:val="21"/>
        </w:rPr>
        <w:t>清楚、权利义务关系明确、争议不大</w:t>
      </w:r>
      <w:r w:rsidRPr="00B87B01">
        <w:rPr>
          <w:rFonts w:ascii="仿宋_GB2312" w:eastAsia="仿宋_GB2312" w:hAnsi="Arial" w:cs="Arial" w:hint="eastAsia"/>
          <w:color w:val="000000"/>
          <w:kern w:val="0"/>
          <w:sz w:val="30"/>
          <w:szCs w:val="30"/>
        </w:rPr>
        <w:t>，争议标的额在浙江省上年度就业人员年平均工资百分之三十以上，</w:t>
      </w:r>
      <w:r w:rsidRPr="00B87B01">
        <w:rPr>
          <w:rFonts w:ascii="宋体" w:eastAsia="宋体" w:hAnsi="宋体" w:cs="Arial" w:hint="eastAsia"/>
          <w:color w:val="000000"/>
          <w:kern w:val="0"/>
          <w:sz w:val="30"/>
          <w:szCs w:val="30"/>
        </w:rPr>
        <w:t>10</w:t>
      </w:r>
      <w:r w:rsidRPr="00B87B01">
        <w:rPr>
          <w:rFonts w:ascii="仿宋_GB2312" w:eastAsia="仿宋_GB2312" w:hAnsi="Arial" w:cs="Arial" w:hint="eastAsia"/>
          <w:color w:val="000000"/>
          <w:kern w:val="0"/>
          <w:sz w:val="30"/>
          <w:szCs w:val="30"/>
        </w:rPr>
        <w:t>万元以下的单一金钱给付纠纷案件，当事人同意适用小额诉讼程序进行审理。现将小额诉讼程序的有关事项释明如下：</w:t>
      </w:r>
    </w:p>
    <w:p w:rsidR="00B87B01" w:rsidRPr="00B87B01" w:rsidRDefault="00B87B01" w:rsidP="00B87B01">
      <w:pPr>
        <w:widowControl/>
        <w:shd w:val="clear" w:color="auto" w:fill="FFFFFF"/>
        <w:spacing w:before="100" w:beforeAutospacing="1" w:after="100" w:afterAutospacing="1" w:line="420" w:lineRule="atLeast"/>
        <w:ind w:firstLine="590"/>
        <w:jc w:val="left"/>
        <w:rPr>
          <w:rFonts w:ascii="Arial" w:eastAsia="宋体" w:hAnsi="Arial" w:cs="Arial"/>
          <w:color w:val="000000"/>
          <w:kern w:val="0"/>
          <w:szCs w:val="21"/>
        </w:rPr>
      </w:pPr>
      <w:r w:rsidRPr="00B87B01">
        <w:rPr>
          <w:rFonts w:ascii="仿宋_GB2312" w:eastAsia="仿宋_GB2312" w:hAnsi="Arial" w:cs="Arial" w:hint="eastAsia"/>
          <w:color w:val="000000"/>
          <w:kern w:val="0"/>
          <w:sz w:val="30"/>
          <w:szCs w:val="30"/>
        </w:rPr>
        <w:t>一、双方当事人均同意选择小额诉讼程序的，本院将按该程序审理本案。</w:t>
      </w:r>
    </w:p>
    <w:p w:rsidR="00B87B01" w:rsidRPr="00B87B01" w:rsidRDefault="00B87B01" w:rsidP="00B87B01">
      <w:pPr>
        <w:widowControl/>
        <w:shd w:val="clear" w:color="auto" w:fill="FFFFFF"/>
        <w:spacing w:before="100" w:beforeAutospacing="1" w:after="100" w:afterAutospacing="1" w:line="420" w:lineRule="atLeast"/>
        <w:ind w:firstLine="590"/>
        <w:jc w:val="left"/>
        <w:rPr>
          <w:rFonts w:ascii="Arial" w:eastAsia="宋体" w:hAnsi="Arial" w:cs="Arial"/>
          <w:color w:val="000000"/>
          <w:kern w:val="0"/>
          <w:szCs w:val="21"/>
        </w:rPr>
      </w:pPr>
      <w:r w:rsidRPr="00B87B01">
        <w:rPr>
          <w:rFonts w:ascii="仿宋_GB2312" w:eastAsia="仿宋_GB2312" w:hAnsi="Arial" w:cs="Arial" w:hint="eastAsia"/>
          <w:color w:val="000000"/>
          <w:kern w:val="0"/>
          <w:sz w:val="30"/>
          <w:szCs w:val="30"/>
        </w:rPr>
        <w:t>二、小额诉讼程序实行一审终审，当事人不得提起上诉。</w:t>
      </w:r>
    </w:p>
    <w:p w:rsidR="00B87B01" w:rsidRPr="00B87B01" w:rsidRDefault="00B87B01" w:rsidP="00B87B01">
      <w:pPr>
        <w:widowControl/>
        <w:shd w:val="clear" w:color="auto" w:fill="FFFFFF"/>
        <w:spacing w:before="100" w:beforeAutospacing="1" w:after="100" w:afterAutospacing="1" w:line="420" w:lineRule="atLeast"/>
        <w:jc w:val="left"/>
        <w:rPr>
          <w:rFonts w:ascii="Arial" w:eastAsia="宋体" w:hAnsi="Arial" w:cs="Arial"/>
          <w:color w:val="000000"/>
          <w:kern w:val="0"/>
          <w:szCs w:val="21"/>
        </w:rPr>
      </w:pPr>
      <w:r w:rsidRPr="00B87B01">
        <w:rPr>
          <w:rFonts w:ascii="宋体" w:eastAsia="宋体" w:hAnsi="宋体" w:cs="Arial" w:hint="eastAsia"/>
          <w:color w:val="000000"/>
          <w:kern w:val="0"/>
          <w:sz w:val="30"/>
          <w:szCs w:val="30"/>
        </w:rPr>
        <w:t> </w:t>
      </w:r>
    </w:p>
    <w:p w:rsidR="00B87B01" w:rsidRPr="00B87B01" w:rsidRDefault="00B87B01" w:rsidP="00B87B01">
      <w:pPr>
        <w:widowControl/>
        <w:shd w:val="clear" w:color="auto" w:fill="FFFFFF"/>
        <w:spacing w:before="100" w:beforeAutospacing="1" w:after="100" w:afterAutospacing="1" w:line="420" w:lineRule="atLeast"/>
        <w:jc w:val="left"/>
        <w:rPr>
          <w:rFonts w:ascii="Arial" w:eastAsia="宋体" w:hAnsi="Arial" w:cs="Arial"/>
          <w:color w:val="000000"/>
          <w:kern w:val="0"/>
          <w:szCs w:val="21"/>
        </w:rPr>
      </w:pPr>
      <w:r w:rsidRPr="00B87B01">
        <w:rPr>
          <w:rFonts w:ascii="宋体" w:eastAsia="宋体" w:hAnsi="宋体" w:cs="Arial" w:hint="eastAsia"/>
          <w:color w:val="000000"/>
          <w:kern w:val="0"/>
          <w:sz w:val="30"/>
          <w:szCs w:val="30"/>
        </w:rPr>
        <w:t> </w:t>
      </w:r>
    </w:p>
    <w:p w:rsidR="00B87B01" w:rsidRPr="00B87B01" w:rsidRDefault="00B87B01" w:rsidP="00B87B01">
      <w:pPr>
        <w:widowControl/>
        <w:shd w:val="clear" w:color="auto" w:fill="FFFFFF"/>
        <w:spacing w:before="100" w:beforeAutospacing="1" w:after="100" w:afterAutospacing="1" w:line="420" w:lineRule="atLeast"/>
        <w:ind w:firstLine="148"/>
        <w:jc w:val="left"/>
        <w:rPr>
          <w:rFonts w:ascii="Arial" w:eastAsia="宋体" w:hAnsi="Arial" w:cs="Arial"/>
          <w:color w:val="000000"/>
          <w:kern w:val="0"/>
          <w:szCs w:val="21"/>
        </w:rPr>
      </w:pPr>
      <w:r w:rsidRPr="00B87B01">
        <w:rPr>
          <w:rFonts w:ascii="宋体" w:eastAsia="宋体" w:hAnsi="宋体" w:cs="Arial" w:hint="eastAsia"/>
          <w:color w:val="000000"/>
          <w:kern w:val="0"/>
          <w:sz w:val="30"/>
          <w:szCs w:val="30"/>
        </w:rPr>
        <w:t>原告签名或盖章确认：             被告签名或盖章确认：</w:t>
      </w:r>
    </w:p>
    <w:p w:rsidR="00B87B01" w:rsidRPr="00B87B01" w:rsidRDefault="00B87B01" w:rsidP="00B87B01">
      <w:pPr>
        <w:widowControl/>
        <w:shd w:val="clear" w:color="auto" w:fill="FFFFFF"/>
        <w:spacing w:before="100" w:beforeAutospacing="1" w:after="100" w:afterAutospacing="1" w:line="420" w:lineRule="atLeast"/>
        <w:ind w:firstLine="295"/>
        <w:jc w:val="left"/>
        <w:rPr>
          <w:rFonts w:ascii="Arial" w:eastAsia="宋体" w:hAnsi="Arial" w:cs="Arial"/>
          <w:color w:val="000000"/>
          <w:kern w:val="0"/>
          <w:szCs w:val="21"/>
        </w:rPr>
      </w:pPr>
      <w:r w:rsidRPr="00B87B01">
        <w:rPr>
          <w:rFonts w:ascii="宋体" w:eastAsia="宋体" w:hAnsi="宋体" w:cs="Arial" w:hint="eastAsia"/>
          <w:color w:val="000000"/>
          <w:kern w:val="0"/>
          <w:sz w:val="30"/>
          <w:szCs w:val="30"/>
        </w:rPr>
        <w:t> </w:t>
      </w:r>
    </w:p>
    <w:p w:rsidR="00B87B01" w:rsidRPr="00B87B01" w:rsidRDefault="00B87B01" w:rsidP="00B87B01">
      <w:pPr>
        <w:widowControl/>
        <w:shd w:val="clear" w:color="auto" w:fill="FFFFFF"/>
        <w:spacing w:before="100" w:beforeAutospacing="1" w:after="100" w:afterAutospacing="1" w:line="420" w:lineRule="atLeast"/>
        <w:ind w:firstLine="413"/>
        <w:jc w:val="left"/>
        <w:rPr>
          <w:rFonts w:ascii="Arial" w:eastAsia="宋体" w:hAnsi="Arial" w:cs="Arial"/>
          <w:color w:val="000000"/>
          <w:kern w:val="0"/>
          <w:szCs w:val="21"/>
        </w:rPr>
      </w:pPr>
      <w:r w:rsidRPr="00B87B01">
        <w:rPr>
          <w:rFonts w:ascii="宋体" w:eastAsia="宋体" w:hAnsi="宋体" w:cs="Arial" w:hint="eastAsia"/>
          <w:color w:val="000000"/>
          <w:kern w:val="0"/>
          <w:sz w:val="28"/>
          <w:szCs w:val="28"/>
        </w:rPr>
        <w:lastRenderedPageBreak/>
        <w:t>原告确认时间：                    被告确认时间：</w:t>
      </w:r>
    </w:p>
    <w:p w:rsidR="00B87B01" w:rsidRPr="00B87B01" w:rsidRDefault="00B87B01" w:rsidP="00B87B01">
      <w:pPr>
        <w:widowControl/>
        <w:jc w:val="left"/>
        <w:rPr>
          <w:rFonts w:ascii="宋体" w:eastAsia="宋体" w:hAnsi="宋体" w:cs="宋体"/>
          <w:kern w:val="0"/>
          <w:sz w:val="24"/>
          <w:szCs w:val="24"/>
        </w:rPr>
      </w:pPr>
      <w:r w:rsidRPr="00B87B01">
        <w:rPr>
          <w:rFonts w:ascii="Times New Roman" w:eastAsia="宋体" w:hAnsi="Times New Roman" w:cs="Times New Roman"/>
          <w:color w:val="000000"/>
          <w:kern w:val="0"/>
          <w:szCs w:val="21"/>
          <w:shd w:val="clear" w:color="auto" w:fill="FFFFFF"/>
        </w:rPr>
        <w:br/>
      </w:r>
    </w:p>
    <w:p w:rsidR="00B87B01" w:rsidRPr="00B87B01" w:rsidRDefault="00B87B01" w:rsidP="00B87B01">
      <w:pPr>
        <w:widowControl/>
        <w:shd w:val="clear" w:color="auto" w:fill="FFFFFF"/>
        <w:spacing w:before="100" w:beforeAutospacing="1" w:after="100" w:afterAutospacing="1" w:line="420" w:lineRule="atLeast"/>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样式三</w:t>
      </w:r>
    </w:p>
    <w:p w:rsidR="00B87B01" w:rsidRPr="00B87B01" w:rsidRDefault="00B87B01" w:rsidP="00B87B01">
      <w:pPr>
        <w:widowControl/>
        <w:shd w:val="clear" w:color="auto" w:fill="FFFFFF"/>
        <w:spacing w:before="100" w:beforeAutospacing="1" w:after="100" w:afterAutospacing="1" w:line="420" w:lineRule="atLeast"/>
        <w:jc w:val="center"/>
        <w:rPr>
          <w:rFonts w:ascii="Arial" w:eastAsia="宋体" w:hAnsi="Arial" w:cs="Arial"/>
          <w:color w:val="000000"/>
          <w:kern w:val="0"/>
          <w:szCs w:val="21"/>
        </w:rPr>
      </w:pPr>
      <w:r w:rsidRPr="00B87B01">
        <w:rPr>
          <w:rFonts w:ascii="华文中宋" w:eastAsia="华文中宋" w:hAnsi="华文中宋" w:cs="Arial" w:hint="eastAsia"/>
          <w:color w:val="000000"/>
          <w:kern w:val="0"/>
          <w:sz w:val="44"/>
          <w:szCs w:val="44"/>
        </w:rPr>
        <w:t>×××人民法院</w:t>
      </w:r>
    </w:p>
    <w:p w:rsidR="00B87B01" w:rsidRPr="00B87B01" w:rsidRDefault="00B87B01" w:rsidP="00B87B01">
      <w:pPr>
        <w:widowControl/>
        <w:shd w:val="clear" w:color="auto" w:fill="FFFFFF"/>
        <w:spacing w:before="100" w:beforeAutospacing="1" w:after="100" w:afterAutospacing="1" w:line="420" w:lineRule="atLeast"/>
        <w:jc w:val="center"/>
        <w:rPr>
          <w:rFonts w:ascii="Arial" w:eastAsia="宋体" w:hAnsi="Arial" w:cs="Arial"/>
          <w:color w:val="000000"/>
          <w:kern w:val="0"/>
          <w:szCs w:val="21"/>
        </w:rPr>
      </w:pPr>
      <w:r w:rsidRPr="00B87B01">
        <w:rPr>
          <w:rFonts w:ascii="宋体" w:eastAsia="宋体" w:hAnsi="宋体" w:cs="Arial" w:hint="eastAsia"/>
          <w:b/>
          <w:bCs/>
          <w:color w:val="000000"/>
          <w:kern w:val="0"/>
          <w:sz w:val="44"/>
          <w:szCs w:val="44"/>
        </w:rPr>
        <w:t>民 事 判 决 书</w:t>
      </w:r>
    </w:p>
    <w:p w:rsidR="00B87B01" w:rsidRPr="00B87B01" w:rsidRDefault="00B87B01" w:rsidP="00B87B01">
      <w:pPr>
        <w:widowControl/>
        <w:shd w:val="clear" w:color="auto" w:fill="FFFFFF"/>
        <w:spacing w:before="100" w:beforeAutospacing="1" w:after="100" w:afterAutospacing="1" w:line="420" w:lineRule="atLeast"/>
        <w:jc w:val="right"/>
        <w:rPr>
          <w:rFonts w:ascii="Arial" w:eastAsia="宋体" w:hAnsi="Arial" w:cs="Arial"/>
          <w:color w:val="000000"/>
          <w:kern w:val="0"/>
          <w:szCs w:val="21"/>
        </w:rPr>
      </w:pPr>
      <w:r w:rsidRPr="00B87B01">
        <w:rPr>
          <w:rFonts w:ascii="仿宋_GB2312" w:eastAsia="仿宋_GB2312" w:hAnsi="Arial" w:cs="Arial" w:hint="eastAsia"/>
          <w:color w:val="000000"/>
          <w:kern w:val="0"/>
          <w:szCs w:val="21"/>
        </w:rPr>
        <w:t>(201×)×初字第××号</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原告×××（身份情况）</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被告×××（身份情况）</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原告×××诉被告×××*****纠纷一案，原告诉请：</w:t>
      </w:r>
      <w:r w:rsidRPr="00B87B01">
        <w:rPr>
          <w:rFonts w:ascii="仿宋_GB2312" w:eastAsia="仿宋_GB2312" w:hAnsi="Arial" w:cs="Arial" w:hint="eastAsia"/>
          <w:color w:val="000000"/>
          <w:kern w:val="0"/>
          <w:sz w:val="30"/>
          <w:szCs w:val="30"/>
        </w:rPr>
        <w:t>1、……；2、……。</w:t>
      </w:r>
      <w:r w:rsidRPr="00B87B01">
        <w:rPr>
          <w:rFonts w:ascii="仿宋_GB2312" w:eastAsia="仿宋_GB2312" w:hAnsi="Arial" w:cs="Arial" w:hint="eastAsia"/>
          <w:color w:val="000000"/>
          <w:kern w:val="0"/>
          <w:szCs w:val="21"/>
        </w:rPr>
        <w:t>本院于</w:t>
      </w:r>
      <w:r w:rsidRPr="00B87B01">
        <w:rPr>
          <w:rFonts w:ascii="宋体" w:eastAsia="宋体" w:hAnsi="宋体" w:cs="Arial" w:hint="eastAsia"/>
          <w:color w:val="000000"/>
          <w:kern w:val="0"/>
          <w:szCs w:val="21"/>
        </w:rPr>
        <w:t>201</w:t>
      </w:r>
      <w:r w:rsidRPr="00B87B01">
        <w:rPr>
          <w:rFonts w:ascii="仿宋_GB2312" w:eastAsia="仿宋_GB2312" w:hAnsi="Arial" w:cs="Arial" w:hint="eastAsia"/>
          <w:color w:val="000000"/>
          <w:kern w:val="0"/>
          <w:szCs w:val="21"/>
        </w:rPr>
        <w:t>×年×月×日立案受理后，依法适用小额诉讼程序，由审判员×××独任审判，于×年×月×日公开（不公开）开庭进行了审理。原告×××，被告×××到庭参加诉讼。（</w:t>
      </w:r>
      <w:r w:rsidRPr="00B87B01">
        <w:rPr>
          <w:rFonts w:ascii="宋体" w:eastAsia="宋体" w:hAnsi="宋体" w:cs="Arial" w:hint="eastAsia"/>
          <w:color w:val="000000"/>
          <w:kern w:val="0"/>
          <w:szCs w:val="21"/>
        </w:rPr>
        <w:t>/</w:t>
      </w:r>
      <w:r w:rsidRPr="00B87B01">
        <w:rPr>
          <w:rFonts w:ascii="仿宋_GB2312" w:eastAsia="仿宋_GB2312" w:hAnsi="Arial" w:cs="Arial" w:hint="eastAsia"/>
          <w:color w:val="000000"/>
          <w:kern w:val="0"/>
          <w:szCs w:val="21"/>
        </w:rPr>
        <w:t>被告经传票传唤，无正当理由未到庭。）本案现已审理终结。</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lastRenderedPageBreak/>
        <w:t>本院查明，×××（简明扼要概括本案主要事实）。根据《中华人民共和国××法》第×条第×款，《中华人民共和国民事诉讼法》第一百四十二条、第一百六十二条之规定，（缺席判决《中华人民共和国民事诉讼法》第一百四十四条）之规定，判决如下</w:t>
      </w:r>
      <w:r w:rsidRPr="00B87B01">
        <w:rPr>
          <w:rFonts w:ascii="宋体" w:eastAsia="宋体" w:hAnsi="宋体" w:cs="Arial" w:hint="eastAsia"/>
          <w:color w:val="000000"/>
          <w:kern w:val="0"/>
          <w:szCs w:val="21"/>
        </w:rPr>
        <w:t>:</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一、×××</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二、×××</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如未按本判决指定的期间履行给付金钱义务，应当依照《中华人民共和国民事诉讼法》第二百五十三条之规定，加倍支付迟延履行期间的债务利息。</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案件受理费×元，减半收取×元，由×××负担×元。</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本判决为终审判决。</w:t>
      </w:r>
    </w:p>
    <w:p w:rsidR="00B87B01" w:rsidRPr="00B87B01" w:rsidRDefault="00B87B01" w:rsidP="00B87B01">
      <w:pPr>
        <w:widowControl/>
        <w:shd w:val="clear" w:color="auto" w:fill="FFFFFF"/>
        <w:spacing w:before="100" w:beforeAutospacing="1" w:after="100" w:afterAutospacing="1" w:line="420" w:lineRule="atLeast"/>
        <w:ind w:firstLine="630"/>
        <w:jc w:val="left"/>
        <w:rPr>
          <w:rFonts w:ascii="Arial" w:eastAsia="宋体" w:hAnsi="Arial" w:cs="Arial"/>
          <w:color w:val="000000"/>
          <w:kern w:val="0"/>
          <w:szCs w:val="21"/>
        </w:rPr>
      </w:pPr>
      <w:r w:rsidRPr="00B87B01">
        <w:rPr>
          <w:rFonts w:ascii="宋体" w:eastAsia="宋体" w:hAnsi="宋体" w:cs="Arial" w:hint="eastAsia"/>
          <w:color w:val="000000"/>
          <w:kern w:val="0"/>
          <w:szCs w:val="21"/>
        </w:rPr>
        <w:t>                 </w:t>
      </w:r>
    </w:p>
    <w:p w:rsidR="00B87B01" w:rsidRPr="00B87B01" w:rsidRDefault="00B87B01" w:rsidP="00B87B01">
      <w:pPr>
        <w:widowControl/>
        <w:shd w:val="clear" w:color="auto" w:fill="FFFFFF"/>
        <w:spacing w:before="100" w:beforeAutospacing="1" w:after="100" w:afterAutospacing="1" w:line="420" w:lineRule="atLeast"/>
        <w:ind w:firstLine="4568"/>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审</w:t>
      </w:r>
      <w:r w:rsidRPr="00B87B01">
        <w:rPr>
          <w:rFonts w:ascii="仿宋_GB2312" w:eastAsia="仿宋_GB2312" w:hAnsi="Arial" w:cs="Arial" w:hint="eastAsia"/>
          <w:color w:val="000000"/>
          <w:kern w:val="0"/>
          <w:szCs w:val="21"/>
        </w:rPr>
        <w:t>  </w:t>
      </w:r>
      <w:r w:rsidRPr="00B87B01">
        <w:rPr>
          <w:rFonts w:ascii="仿宋_GB2312" w:eastAsia="仿宋_GB2312" w:hAnsi="Arial" w:cs="Arial" w:hint="eastAsia"/>
          <w:color w:val="000000"/>
          <w:kern w:val="0"/>
          <w:szCs w:val="21"/>
        </w:rPr>
        <w:t>判</w:t>
      </w:r>
      <w:r w:rsidRPr="00B87B01">
        <w:rPr>
          <w:rFonts w:ascii="仿宋_GB2312" w:eastAsia="仿宋_GB2312" w:hAnsi="Arial" w:cs="Arial" w:hint="eastAsia"/>
          <w:color w:val="000000"/>
          <w:kern w:val="0"/>
          <w:szCs w:val="21"/>
        </w:rPr>
        <w:t>  </w:t>
      </w:r>
      <w:r w:rsidRPr="00B87B01">
        <w:rPr>
          <w:rFonts w:ascii="仿宋_GB2312" w:eastAsia="仿宋_GB2312" w:hAnsi="Arial" w:cs="Arial" w:hint="eastAsia"/>
          <w:color w:val="000000"/>
          <w:kern w:val="0"/>
          <w:szCs w:val="21"/>
        </w:rPr>
        <w:t>员</w:t>
      </w:r>
      <w:r w:rsidRPr="00B87B01">
        <w:rPr>
          <w:rFonts w:ascii="仿宋_GB2312" w:eastAsia="仿宋_GB2312" w:hAnsi="Arial" w:cs="Arial" w:hint="eastAsia"/>
          <w:color w:val="000000"/>
          <w:kern w:val="0"/>
          <w:szCs w:val="21"/>
        </w:rPr>
        <w:t>    </w:t>
      </w:r>
      <w:r w:rsidRPr="00B87B01">
        <w:rPr>
          <w:rFonts w:ascii="仿宋_GB2312" w:eastAsia="仿宋_GB2312" w:hAnsi="Arial" w:cs="Arial" w:hint="eastAsia"/>
          <w:color w:val="000000"/>
          <w:kern w:val="0"/>
          <w:szCs w:val="21"/>
        </w:rPr>
        <w:t>×××</w:t>
      </w:r>
    </w:p>
    <w:p w:rsidR="00B87B01" w:rsidRPr="00B87B01" w:rsidRDefault="00B87B01" w:rsidP="00B87B01">
      <w:pPr>
        <w:widowControl/>
        <w:shd w:val="clear" w:color="auto" w:fill="FFFFFF"/>
        <w:spacing w:before="100" w:beforeAutospacing="1" w:after="100" w:afterAutospacing="1" w:line="420" w:lineRule="atLeast"/>
        <w:ind w:firstLine="4568"/>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二○一×年××月××日</w:t>
      </w:r>
    </w:p>
    <w:p w:rsidR="00B87B01" w:rsidRPr="00B87B01" w:rsidRDefault="00B87B01" w:rsidP="00B87B01">
      <w:pPr>
        <w:widowControl/>
        <w:shd w:val="clear" w:color="auto" w:fill="FFFFFF"/>
        <w:spacing w:before="100" w:beforeAutospacing="1" w:after="100" w:afterAutospacing="1" w:line="420" w:lineRule="atLeast"/>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本件与原本核对无异</w:t>
      </w:r>
    </w:p>
    <w:p w:rsidR="00B87B01" w:rsidRPr="00B87B01" w:rsidRDefault="00B87B01" w:rsidP="00B87B01">
      <w:pPr>
        <w:widowControl/>
        <w:shd w:val="clear" w:color="auto" w:fill="FFFFFF"/>
        <w:spacing w:before="100" w:beforeAutospacing="1" w:after="100" w:afterAutospacing="1" w:line="420" w:lineRule="atLeast"/>
        <w:ind w:firstLine="4568"/>
        <w:jc w:val="left"/>
        <w:rPr>
          <w:rFonts w:ascii="Arial" w:eastAsia="宋体" w:hAnsi="Arial" w:cs="Arial"/>
          <w:color w:val="000000"/>
          <w:kern w:val="0"/>
          <w:szCs w:val="21"/>
        </w:rPr>
      </w:pPr>
      <w:r w:rsidRPr="00B87B01">
        <w:rPr>
          <w:rFonts w:ascii="仿宋_GB2312" w:eastAsia="仿宋_GB2312" w:hAnsi="Arial" w:cs="Arial" w:hint="eastAsia"/>
          <w:color w:val="000000"/>
          <w:kern w:val="0"/>
          <w:szCs w:val="21"/>
        </w:rPr>
        <w:t>书</w:t>
      </w:r>
      <w:r w:rsidRPr="00B87B01">
        <w:rPr>
          <w:rFonts w:ascii="仿宋_GB2312" w:eastAsia="仿宋_GB2312" w:hAnsi="Arial" w:cs="Arial" w:hint="eastAsia"/>
          <w:color w:val="000000"/>
          <w:kern w:val="0"/>
          <w:szCs w:val="21"/>
        </w:rPr>
        <w:t>  </w:t>
      </w:r>
      <w:r w:rsidRPr="00B87B01">
        <w:rPr>
          <w:rFonts w:ascii="仿宋_GB2312" w:eastAsia="仿宋_GB2312" w:hAnsi="Arial" w:cs="Arial" w:hint="eastAsia"/>
          <w:color w:val="000000"/>
          <w:kern w:val="0"/>
          <w:szCs w:val="21"/>
        </w:rPr>
        <w:t>记</w:t>
      </w:r>
      <w:r w:rsidRPr="00B87B01">
        <w:rPr>
          <w:rFonts w:ascii="仿宋_GB2312" w:eastAsia="仿宋_GB2312" w:hAnsi="Arial" w:cs="Arial" w:hint="eastAsia"/>
          <w:color w:val="000000"/>
          <w:kern w:val="0"/>
          <w:szCs w:val="21"/>
        </w:rPr>
        <w:t>  </w:t>
      </w:r>
      <w:r w:rsidRPr="00B87B01">
        <w:rPr>
          <w:rFonts w:ascii="仿宋_GB2312" w:eastAsia="仿宋_GB2312" w:hAnsi="Arial" w:cs="Arial" w:hint="eastAsia"/>
          <w:color w:val="000000"/>
          <w:kern w:val="0"/>
          <w:szCs w:val="21"/>
        </w:rPr>
        <w:t>员</w:t>
      </w:r>
      <w:r w:rsidRPr="00B87B01">
        <w:rPr>
          <w:rFonts w:ascii="仿宋_GB2312" w:eastAsia="仿宋_GB2312" w:hAnsi="Arial" w:cs="Arial" w:hint="eastAsia"/>
          <w:color w:val="000000"/>
          <w:kern w:val="0"/>
          <w:szCs w:val="21"/>
        </w:rPr>
        <w:t>    </w:t>
      </w:r>
      <w:r w:rsidRPr="00B87B01">
        <w:rPr>
          <w:rFonts w:ascii="仿宋_GB2312" w:eastAsia="仿宋_GB2312" w:hAnsi="Arial" w:cs="Arial" w:hint="eastAsia"/>
          <w:color w:val="000000"/>
          <w:kern w:val="0"/>
          <w:szCs w:val="21"/>
        </w:rPr>
        <w:t>×××</w:t>
      </w:r>
    </w:p>
    <w:p w:rsidR="00B87B01" w:rsidRPr="00B87B01" w:rsidRDefault="00B87B01" w:rsidP="00B87B01">
      <w:pPr>
        <w:widowControl/>
        <w:jc w:val="left"/>
        <w:rPr>
          <w:rFonts w:ascii="宋体" w:eastAsia="宋体" w:hAnsi="宋体" w:cs="宋体"/>
          <w:kern w:val="0"/>
          <w:sz w:val="24"/>
          <w:szCs w:val="24"/>
        </w:rPr>
      </w:pPr>
      <w:r w:rsidRPr="00B87B01">
        <w:rPr>
          <w:rFonts w:ascii="仿宋_GB2312" w:eastAsia="仿宋_GB2312" w:hAnsi="宋体" w:cs="宋体" w:hint="eastAsia"/>
          <w:color w:val="000000"/>
          <w:kern w:val="0"/>
          <w:szCs w:val="21"/>
          <w:shd w:val="clear" w:color="auto" w:fill="FFFFFF"/>
        </w:rPr>
        <w:lastRenderedPageBreak/>
        <w:br/>
      </w:r>
    </w:p>
    <w:p w:rsidR="00B87B01" w:rsidRPr="00B87B01" w:rsidRDefault="00B87B01" w:rsidP="00B87B01">
      <w:pPr>
        <w:widowControl/>
        <w:shd w:val="clear" w:color="auto" w:fill="FFFFFF"/>
        <w:spacing w:before="100" w:beforeAutospacing="1" w:after="100" w:afterAutospacing="1" w:line="420" w:lineRule="atLeast"/>
        <w:jc w:val="center"/>
        <w:rPr>
          <w:rFonts w:ascii="Arial" w:eastAsia="宋体" w:hAnsi="Arial" w:cs="Arial"/>
          <w:color w:val="000000"/>
          <w:kern w:val="0"/>
          <w:szCs w:val="21"/>
        </w:rPr>
      </w:pPr>
      <w:r w:rsidRPr="00B87B01">
        <w:rPr>
          <w:rFonts w:ascii="宋体" w:eastAsia="宋体" w:hAnsi="宋体" w:cs="Arial" w:hint="eastAsia"/>
          <w:color w:val="000000"/>
          <w:kern w:val="0"/>
          <w:sz w:val="44"/>
          <w:szCs w:val="44"/>
        </w:rPr>
        <w:t>吴兴区</w:t>
      </w:r>
      <w:r w:rsidRPr="00B87B01">
        <w:rPr>
          <w:rFonts w:ascii="Dotum" w:eastAsia="Dotum" w:hAnsi="Dotum" w:cs="Arial" w:hint="eastAsia"/>
          <w:color w:val="000000"/>
          <w:kern w:val="0"/>
          <w:sz w:val="44"/>
          <w:szCs w:val="44"/>
        </w:rPr>
        <w:t>人民法</w:t>
      </w:r>
      <w:r w:rsidRPr="00B87B01">
        <w:rPr>
          <w:rFonts w:ascii="华文中宋" w:eastAsia="华文中宋" w:hAnsi="华文中宋" w:cs="Arial" w:hint="eastAsia"/>
          <w:color w:val="000000"/>
          <w:kern w:val="0"/>
          <w:sz w:val="44"/>
          <w:szCs w:val="44"/>
        </w:rPr>
        <w:t>院</w:t>
      </w:r>
    </w:p>
    <w:p w:rsidR="00B87B01" w:rsidRPr="00B87B01" w:rsidRDefault="00B87B01" w:rsidP="00B87B01">
      <w:pPr>
        <w:widowControl/>
        <w:shd w:val="clear" w:color="auto" w:fill="FFFFFF"/>
        <w:spacing w:before="100" w:beforeAutospacing="1" w:after="100" w:afterAutospacing="1" w:line="420" w:lineRule="atLeast"/>
        <w:jc w:val="center"/>
        <w:rPr>
          <w:rFonts w:ascii="Arial" w:eastAsia="宋体" w:hAnsi="Arial" w:cs="Arial"/>
          <w:color w:val="000000"/>
          <w:kern w:val="0"/>
          <w:szCs w:val="21"/>
        </w:rPr>
      </w:pPr>
      <w:r w:rsidRPr="00B87B01">
        <w:rPr>
          <w:rFonts w:ascii="华文中宋" w:eastAsia="华文中宋" w:hAnsi="华文中宋" w:cs="Arial" w:hint="eastAsia"/>
          <w:color w:val="000000"/>
          <w:kern w:val="0"/>
          <w:sz w:val="52"/>
          <w:szCs w:val="52"/>
        </w:rPr>
        <w:t>民 事 判 </w:t>
      </w:r>
      <w:r w:rsidRPr="00B87B01">
        <w:rPr>
          <w:rFonts w:ascii="宋体" w:eastAsia="宋体" w:hAnsi="宋体" w:cs="Arial" w:hint="eastAsia"/>
          <w:color w:val="000000"/>
          <w:kern w:val="0"/>
          <w:sz w:val="52"/>
          <w:szCs w:val="52"/>
        </w:rPr>
        <w:t>决</w:t>
      </w:r>
      <w:r w:rsidRPr="00B87B01">
        <w:rPr>
          <w:rFonts w:ascii="华文中宋" w:eastAsia="华文中宋" w:hAnsi="华文中宋" w:cs="Arial" w:hint="eastAsia"/>
          <w:color w:val="000000"/>
          <w:kern w:val="0"/>
          <w:sz w:val="52"/>
          <w:szCs w:val="52"/>
        </w:rPr>
        <w:t> </w:t>
      </w:r>
      <w:r w:rsidRPr="00B87B01">
        <w:rPr>
          <w:rFonts w:ascii="宋体" w:eastAsia="宋体" w:hAnsi="宋体" w:cs="Arial" w:hint="eastAsia"/>
          <w:color w:val="000000"/>
          <w:kern w:val="0"/>
          <w:sz w:val="52"/>
          <w:szCs w:val="52"/>
        </w:rPr>
        <w:t>书</w:t>
      </w:r>
    </w:p>
    <w:p w:rsidR="00B87B01" w:rsidRPr="00B87B01" w:rsidRDefault="00B87B01" w:rsidP="00B87B01">
      <w:pPr>
        <w:widowControl/>
        <w:shd w:val="clear" w:color="auto" w:fill="FFFFFF"/>
        <w:spacing w:before="100" w:beforeAutospacing="1" w:after="100" w:afterAutospacing="1" w:line="420" w:lineRule="atLeast"/>
        <w:jc w:val="right"/>
        <w:rPr>
          <w:rFonts w:ascii="Arial" w:eastAsia="宋体" w:hAnsi="Arial" w:cs="Arial"/>
          <w:color w:val="000000"/>
          <w:kern w:val="0"/>
          <w:szCs w:val="21"/>
        </w:rPr>
      </w:pPr>
      <w:r w:rsidRPr="00B87B01">
        <w:rPr>
          <w:rFonts w:ascii="仿宋_GB2312" w:eastAsia="仿宋_GB2312" w:hAnsi="Arial" w:cs="Arial" w:hint="eastAsia"/>
          <w:color w:val="000000"/>
          <w:kern w:val="0"/>
          <w:szCs w:val="21"/>
        </w:rPr>
        <w:t>(</w:t>
      </w:r>
      <w:r w:rsidRPr="00B87B01">
        <w:rPr>
          <w:rFonts w:ascii="仿宋_GB2312" w:eastAsia="仿宋_GB2312" w:hAnsi="Arial" w:cs="Arial" w:hint="eastAsia"/>
          <w:color w:val="000000"/>
          <w:kern w:val="0"/>
          <w:szCs w:val="21"/>
        </w:rPr>
        <w:t>    </w:t>
      </w:r>
      <w:r w:rsidRPr="00B87B01">
        <w:rPr>
          <w:rFonts w:ascii="仿宋_GB2312" w:eastAsia="仿宋_GB2312" w:hAnsi="Arial" w:cs="Arial" w:hint="eastAsia"/>
          <w:color w:val="000000"/>
          <w:kern w:val="0"/>
          <w:szCs w:val="21"/>
        </w:rPr>
        <w:t>)</w:t>
      </w:r>
      <w:r w:rsidRPr="00B87B01">
        <w:rPr>
          <w:rFonts w:ascii="仿宋_GB2312" w:eastAsia="仿宋_GB2312" w:hAnsi="Arial" w:cs="Arial" w:hint="eastAsia"/>
          <w:color w:val="000000"/>
          <w:kern w:val="0"/>
          <w:szCs w:val="21"/>
        </w:rPr>
        <w:t>    </w:t>
      </w:r>
      <w:r w:rsidRPr="00B87B01">
        <w:rPr>
          <w:rFonts w:ascii="仿宋_GB2312" w:eastAsia="仿宋_GB2312" w:hAnsi="Arial" w:cs="Arial" w:hint="eastAsia"/>
          <w:color w:val="000000"/>
          <w:kern w:val="0"/>
          <w:szCs w:val="21"/>
        </w:rPr>
        <w:t>初字第</w:t>
      </w:r>
      <w:r w:rsidRPr="00B87B01">
        <w:rPr>
          <w:rFonts w:ascii="仿宋_GB2312" w:eastAsia="仿宋_GB2312" w:hAnsi="Arial" w:cs="Arial" w:hint="eastAsia"/>
          <w:color w:val="000000"/>
          <w:kern w:val="0"/>
          <w:szCs w:val="21"/>
        </w:rPr>
        <w:t>   </w:t>
      </w:r>
      <w:r w:rsidRPr="00B87B01">
        <w:rPr>
          <w:rFonts w:ascii="仿宋_GB2312" w:eastAsia="仿宋_GB2312" w:hAnsi="Arial" w:cs="Arial" w:hint="eastAsia"/>
          <w:color w:val="000000"/>
          <w:kern w:val="0"/>
          <w:szCs w:val="21"/>
        </w:rPr>
        <w:t>号</w:t>
      </w:r>
    </w:p>
    <w:tbl>
      <w:tblPr>
        <w:tblW w:w="846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0335"/>
      </w:tblGrid>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firstLine="550"/>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8"/>
                <w:szCs w:val="28"/>
              </w:rPr>
              <w:t>原告</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firstLine="550"/>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8"/>
                <w:szCs w:val="28"/>
              </w:rPr>
              <w:t>被告</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firstLine="630"/>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t>原告</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诉</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t>被告</w:t>
            </w:r>
            <w:r w:rsidRPr="00B87B01">
              <w:rPr>
                <w:rFonts w:ascii="仿宋_GB2312" w:eastAsia="仿宋_GB2312" w:hAnsi="宋体" w:cs="宋体" w:hint="eastAsia"/>
                <w:color w:val="000000"/>
                <w:kern w:val="0"/>
                <w:sz w:val="24"/>
                <w:szCs w:val="24"/>
              </w:rPr>
              <w:t>                                      </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firstLine="2993"/>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lastRenderedPageBreak/>
              <w:t>纠纷一案，原告诉请：</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t>本院于201</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年</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月</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日立案受理后，依法适用小额诉讼程</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t>序，由审判员</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独任审判，于201</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年</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月</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日</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公开</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t>开庭进行了审理。原告</w:t>
            </w:r>
            <w:r w:rsidRPr="00B87B01">
              <w:rPr>
                <w:rFonts w:ascii="仿宋_GB2312" w:eastAsia="仿宋_GB2312" w:hAnsi="宋体" w:cs="宋体" w:hint="eastAsia"/>
                <w:color w:val="000000"/>
                <w:kern w:val="0"/>
                <w:sz w:val="24"/>
                <w:szCs w:val="24"/>
              </w:rPr>
              <w:t>         </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t>被告</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到庭参加诉</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proofErr w:type="gramStart"/>
            <w:r w:rsidRPr="00B87B01">
              <w:rPr>
                <w:rFonts w:ascii="仿宋_GB2312" w:eastAsia="仿宋_GB2312" w:hAnsi="宋体" w:cs="宋体" w:hint="eastAsia"/>
                <w:color w:val="000000"/>
                <w:kern w:val="0"/>
                <w:sz w:val="24"/>
                <w:szCs w:val="24"/>
              </w:rPr>
              <w:t>讼</w:t>
            </w:r>
            <w:proofErr w:type="gramEnd"/>
            <w:r w:rsidRPr="00B87B01">
              <w:rPr>
                <w:rFonts w:ascii="仿宋_GB2312" w:eastAsia="仿宋_GB2312" w:hAnsi="宋体" w:cs="宋体" w:hint="eastAsia"/>
                <w:color w:val="000000"/>
                <w:kern w:val="0"/>
                <w:sz w:val="24"/>
                <w:szCs w:val="24"/>
              </w:rPr>
              <w:t>。</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本案现已审</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t>理终结。</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firstLine="630"/>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t>本院查明，</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8"/>
                <w:szCs w:val="28"/>
              </w:rPr>
              <w:t>根据</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firstLine="825"/>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8"/>
                <w:szCs w:val="28"/>
              </w:rPr>
              <w:t>《中华人民共和国民事诉讼法》第一百四十二条、第一百六</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8"/>
                <w:szCs w:val="28"/>
              </w:rPr>
              <w:t>十二条之规定，判决如下：</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firstLine="550"/>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8"/>
                <w:szCs w:val="28"/>
              </w:rPr>
              <w:t>如未按本判决指定的期间履行给付金钱义务，应当依照</w:t>
            </w:r>
            <w:proofErr w:type="gramStart"/>
            <w:r w:rsidRPr="00B87B01">
              <w:rPr>
                <w:rFonts w:ascii="仿宋_GB2312" w:eastAsia="仿宋_GB2312" w:hAnsi="宋体" w:cs="宋体" w:hint="eastAsia"/>
                <w:color w:val="000000"/>
                <w:kern w:val="0"/>
                <w:sz w:val="28"/>
                <w:szCs w:val="28"/>
              </w:rPr>
              <w:t>《</w:t>
            </w:r>
            <w:proofErr w:type="gramEnd"/>
            <w:r w:rsidRPr="00B87B01">
              <w:rPr>
                <w:rFonts w:ascii="仿宋_GB2312" w:eastAsia="仿宋_GB2312" w:hAnsi="宋体" w:cs="宋体" w:hint="eastAsia"/>
                <w:color w:val="000000"/>
                <w:kern w:val="0"/>
                <w:sz w:val="28"/>
                <w:szCs w:val="28"/>
              </w:rPr>
              <w:t>中华</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8"/>
                <w:szCs w:val="28"/>
              </w:rPr>
              <w:t>人民共和国民事诉讼法</w:t>
            </w:r>
            <w:proofErr w:type="gramStart"/>
            <w:r w:rsidRPr="00B87B01">
              <w:rPr>
                <w:rFonts w:ascii="仿宋_GB2312" w:eastAsia="仿宋_GB2312" w:hAnsi="宋体" w:cs="宋体" w:hint="eastAsia"/>
                <w:color w:val="000000"/>
                <w:kern w:val="0"/>
                <w:sz w:val="28"/>
                <w:szCs w:val="28"/>
              </w:rPr>
              <w:t>》</w:t>
            </w:r>
            <w:proofErr w:type="gramEnd"/>
            <w:r w:rsidRPr="00B87B01">
              <w:rPr>
                <w:rFonts w:ascii="仿宋_GB2312" w:eastAsia="仿宋_GB2312" w:hAnsi="宋体" w:cs="宋体" w:hint="eastAsia"/>
                <w:color w:val="000000"/>
                <w:kern w:val="0"/>
                <w:sz w:val="28"/>
                <w:szCs w:val="28"/>
              </w:rPr>
              <w:t>第二百五十三条之规定，加倍支付迟延履</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8"/>
                <w:szCs w:val="28"/>
              </w:rPr>
              <w:t>行期间的债务利息。</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firstLine="550"/>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8"/>
                <w:szCs w:val="28"/>
              </w:rPr>
              <w:t>案件受理费</w:t>
            </w:r>
            <w:r w:rsidRPr="00B87B01">
              <w:rPr>
                <w:rFonts w:ascii="仿宋_GB2312" w:eastAsia="仿宋_GB2312" w:hAnsi="宋体" w:cs="宋体" w:hint="eastAsia"/>
                <w:color w:val="000000"/>
                <w:kern w:val="0"/>
                <w:sz w:val="28"/>
                <w:szCs w:val="28"/>
              </w:rPr>
              <w:t>     </w:t>
            </w:r>
            <w:r w:rsidRPr="00B87B01">
              <w:rPr>
                <w:rFonts w:ascii="仿宋_GB2312" w:eastAsia="仿宋_GB2312" w:hAnsi="宋体" w:cs="宋体" w:hint="eastAsia"/>
                <w:color w:val="000000"/>
                <w:kern w:val="0"/>
                <w:sz w:val="28"/>
                <w:szCs w:val="28"/>
              </w:rPr>
              <w:t>元，减半收取</w:t>
            </w:r>
            <w:r w:rsidRPr="00B87B01">
              <w:rPr>
                <w:rFonts w:ascii="仿宋_GB2312" w:eastAsia="仿宋_GB2312" w:hAnsi="宋体" w:cs="宋体" w:hint="eastAsia"/>
                <w:color w:val="000000"/>
                <w:kern w:val="0"/>
                <w:sz w:val="28"/>
                <w:szCs w:val="28"/>
              </w:rPr>
              <w:t>    </w:t>
            </w:r>
            <w:r w:rsidRPr="00B87B01">
              <w:rPr>
                <w:rFonts w:ascii="仿宋_GB2312" w:eastAsia="仿宋_GB2312" w:hAnsi="宋体" w:cs="宋体" w:hint="eastAsia"/>
                <w:color w:val="000000"/>
                <w:kern w:val="0"/>
                <w:sz w:val="28"/>
                <w:szCs w:val="28"/>
              </w:rPr>
              <w:t>元，由</w:t>
            </w:r>
            <w:r w:rsidRPr="00B87B01">
              <w:rPr>
                <w:rFonts w:ascii="仿宋_GB2312" w:eastAsia="仿宋_GB2312" w:hAnsi="宋体" w:cs="宋体" w:hint="eastAsia"/>
                <w:color w:val="000000"/>
                <w:kern w:val="0"/>
                <w:sz w:val="28"/>
                <w:szCs w:val="28"/>
              </w:rPr>
              <w:t>    </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8"/>
                <w:szCs w:val="28"/>
              </w:rPr>
              <w:t>负担</w:t>
            </w:r>
            <w:r w:rsidRPr="00B87B01">
              <w:rPr>
                <w:rFonts w:ascii="仿宋_GB2312" w:eastAsia="仿宋_GB2312" w:hAnsi="宋体" w:cs="宋体" w:hint="eastAsia"/>
                <w:color w:val="000000"/>
                <w:kern w:val="0"/>
                <w:sz w:val="28"/>
                <w:szCs w:val="28"/>
              </w:rPr>
              <w:t>      </w:t>
            </w:r>
            <w:r w:rsidRPr="00B87B01">
              <w:rPr>
                <w:rFonts w:ascii="仿宋_GB2312" w:eastAsia="仿宋_GB2312" w:hAnsi="宋体" w:cs="宋体" w:hint="eastAsia"/>
                <w:color w:val="000000"/>
                <w:kern w:val="0"/>
                <w:sz w:val="28"/>
                <w:szCs w:val="28"/>
              </w:rPr>
              <w:t>元。</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firstLine="550"/>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8"/>
                <w:szCs w:val="28"/>
              </w:rPr>
              <w:t>本判决为终审判决。</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firstLine="3780"/>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t>审</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判</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员</w:t>
            </w:r>
            <w:r w:rsidRPr="00B87B01">
              <w:rPr>
                <w:rFonts w:ascii="仿宋_GB2312" w:eastAsia="仿宋_GB2312" w:hAnsi="宋体" w:cs="宋体" w:hint="eastAsia"/>
                <w:color w:val="000000"/>
                <w:kern w:val="0"/>
                <w:sz w:val="24"/>
                <w:szCs w:val="24"/>
              </w:rPr>
              <w:t>    </w:t>
            </w:r>
          </w:p>
          <w:p w:rsidR="00B87B01" w:rsidRPr="00B87B01" w:rsidRDefault="00B87B01" w:rsidP="00B87B01">
            <w:pPr>
              <w:widowControl/>
              <w:spacing w:before="100" w:beforeAutospacing="1" w:after="100" w:afterAutospacing="1"/>
              <w:ind w:firstLine="470"/>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t>本件与原本核对无异</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二○</w:t>
            </w:r>
            <w:proofErr w:type="gramStart"/>
            <w:r w:rsidRPr="00B87B01">
              <w:rPr>
                <w:rFonts w:ascii="仿宋_GB2312" w:eastAsia="仿宋_GB2312" w:hAnsi="宋体" w:cs="宋体" w:hint="eastAsia"/>
                <w:color w:val="000000"/>
                <w:kern w:val="0"/>
                <w:sz w:val="24"/>
                <w:szCs w:val="24"/>
              </w:rPr>
              <w:t>一</w:t>
            </w:r>
            <w:proofErr w:type="gramEnd"/>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年</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月</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日</w:t>
            </w:r>
          </w:p>
          <w:p w:rsidR="00B87B01" w:rsidRPr="00B87B01" w:rsidRDefault="00B87B01" w:rsidP="00B87B01">
            <w:pPr>
              <w:widowControl/>
              <w:spacing w:before="100" w:beforeAutospacing="1" w:after="100" w:afterAutospacing="1"/>
              <w:ind w:firstLine="4095"/>
              <w:jc w:val="left"/>
              <w:rPr>
                <w:rFonts w:ascii="宋体" w:eastAsia="宋体" w:hAnsi="宋体" w:cs="宋体"/>
                <w:color w:val="000000"/>
                <w:kern w:val="0"/>
                <w:sz w:val="24"/>
                <w:szCs w:val="24"/>
              </w:rPr>
            </w:pPr>
            <w:r w:rsidRPr="00B87B01">
              <w:rPr>
                <w:rFonts w:ascii="仿宋_GB2312" w:eastAsia="仿宋_GB2312" w:hAnsi="宋体" w:cs="宋体" w:hint="eastAsia"/>
                <w:color w:val="000000"/>
                <w:kern w:val="0"/>
                <w:sz w:val="24"/>
                <w:szCs w:val="24"/>
              </w:rPr>
              <w:t>书</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记</w:t>
            </w:r>
            <w:r w:rsidRPr="00B87B01">
              <w:rPr>
                <w:rFonts w:ascii="仿宋_GB2312" w:eastAsia="仿宋_GB2312" w:hAnsi="宋体" w:cs="宋体" w:hint="eastAsia"/>
                <w:color w:val="000000"/>
                <w:kern w:val="0"/>
                <w:sz w:val="24"/>
                <w:szCs w:val="24"/>
              </w:rPr>
              <w:t>  </w:t>
            </w:r>
            <w:r w:rsidRPr="00B87B01">
              <w:rPr>
                <w:rFonts w:ascii="仿宋_GB2312" w:eastAsia="仿宋_GB2312" w:hAnsi="宋体" w:cs="宋体" w:hint="eastAsia"/>
                <w:color w:val="000000"/>
                <w:kern w:val="0"/>
                <w:sz w:val="24"/>
                <w:szCs w:val="24"/>
              </w:rPr>
              <w:t>员</w:t>
            </w:r>
            <w:r w:rsidRPr="00B87B01">
              <w:rPr>
                <w:rFonts w:ascii="仿宋_GB2312" w:eastAsia="仿宋_GB2312" w:hAnsi="宋体" w:cs="宋体" w:hint="eastAsia"/>
                <w:color w:val="000000"/>
                <w:kern w:val="0"/>
                <w:sz w:val="24"/>
                <w:szCs w:val="24"/>
              </w:rPr>
              <w:t>    </w:t>
            </w:r>
          </w:p>
        </w:tc>
      </w:tr>
    </w:tbl>
    <w:p w:rsidR="00B87B01" w:rsidRPr="00B87B01" w:rsidRDefault="00B87B01" w:rsidP="00B87B01">
      <w:pPr>
        <w:widowControl/>
        <w:shd w:val="clear" w:color="auto" w:fill="FFFFFF"/>
        <w:spacing w:before="100" w:beforeAutospacing="1" w:after="100" w:afterAutospacing="1" w:line="420" w:lineRule="atLeast"/>
        <w:jc w:val="center"/>
        <w:rPr>
          <w:rFonts w:ascii="Arial" w:eastAsia="宋体" w:hAnsi="Arial" w:cs="Arial"/>
          <w:color w:val="000000"/>
          <w:kern w:val="0"/>
          <w:szCs w:val="21"/>
        </w:rPr>
      </w:pPr>
      <w:r w:rsidRPr="00B87B01">
        <w:rPr>
          <w:rFonts w:ascii="宋体" w:eastAsia="宋体" w:hAnsi="宋体" w:cs="Arial" w:hint="eastAsia"/>
          <w:b/>
          <w:bCs/>
          <w:color w:val="000000"/>
          <w:kern w:val="0"/>
          <w:sz w:val="36"/>
          <w:szCs w:val="36"/>
        </w:rPr>
        <w:t>调解笔录</w:t>
      </w:r>
    </w:p>
    <w:tbl>
      <w:tblPr>
        <w:tblW w:w="846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375"/>
      </w:tblGrid>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时间：二</w:t>
            </w:r>
            <w:proofErr w:type="gramStart"/>
            <w:r w:rsidRPr="00B87B01">
              <w:rPr>
                <w:rFonts w:ascii="宋体" w:eastAsia="宋体" w:hAnsi="宋体" w:cs="宋体" w:hint="eastAsia"/>
                <w:color w:val="000000"/>
                <w:kern w:val="0"/>
                <w:sz w:val="24"/>
                <w:szCs w:val="24"/>
              </w:rPr>
              <w:t>0一</w:t>
            </w:r>
            <w:proofErr w:type="gramEnd"/>
            <w:r w:rsidRPr="00B87B01">
              <w:rPr>
                <w:rFonts w:ascii="宋体" w:eastAsia="宋体" w:hAnsi="宋体" w:cs="宋体" w:hint="eastAsia"/>
                <w:color w:val="000000"/>
                <w:kern w:val="0"/>
                <w:sz w:val="24"/>
                <w:szCs w:val="24"/>
              </w:rPr>
              <w:t>  年  月  日   时  分</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地点：</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审判员：</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lastRenderedPageBreak/>
              <w:t>书记员：</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审：下面核对双方当事人的身份情况。请原告方报告身份情况</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原告：</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审：请被告方报告身份情况</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被告：</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jc w:val="left"/>
              <w:rPr>
                <w:rFonts w:ascii="Arial" w:eastAsia="宋体" w:hAnsi="Arial" w:cs="Arial"/>
                <w:color w:val="000000"/>
                <w:kern w:val="0"/>
                <w:sz w:val="18"/>
                <w:szCs w:val="18"/>
              </w:rPr>
            </w:pP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审：原告对被告方的身份情况有无异议？</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原：没有异议。</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审：被告对原告方的身份有无异议？</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被：没有异议。</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审：当事人及代理人身份核对无误，且对对方参加调解人员身份无异议，可以参加本案调</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解。原告方是否愿意调解？</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原：</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审：被告方是否愿意调解？</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被：</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 原、被告双方均愿意调解。依照《中华人民共和国民事诉讼法》第一百五十七条、第</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一百六十二条之规定，适用小额诉讼程序，由审判员         主持调解，书记员        担</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任记录。</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lastRenderedPageBreak/>
              <w:t>审：依照《中华人民共和国民事诉讼法》有关规定，当事人享有下列权利：有权委托诉讼</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代理人；原告可以放弃或变更诉讼请求；被告可以承认或反驳诉讼请求、提起反诉；当事</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人有权提供证人、证物；有权进行辩论；有权自行和解或请求调解；经本院许可，可以查</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proofErr w:type="gramStart"/>
            <w:r w:rsidRPr="00B87B01">
              <w:rPr>
                <w:rFonts w:ascii="宋体" w:eastAsia="宋体" w:hAnsi="宋体" w:cs="宋体" w:hint="eastAsia"/>
                <w:color w:val="000000"/>
                <w:kern w:val="0"/>
                <w:sz w:val="24"/>
                <w:szCs w:val="24"/>
              </w:rPr>
              <w:t>阅</w:t>
            </w:r>
            <w:proofErr w:type="gramEnd"/>
            <w:r w:rsidRPr="00B87B01">
              <w:rPr>
                <w:rFonts w:ascii="宋体" w:eastAsia="宋体" w:hAnsi="宋体" w:cs="宋体" w:hint="eastAsia"/>
                <w:color w:val="000000"/>
                <w:kern w:val="0"/>
                <w:sz w:val="24"/>
                <w:szCs w:val="24"/>
              </w:rPr>
              <w:t>本案的庭审材料。当事人如果有理由认为本案的审判人员、书记员与本案有利害关系，或与本案当事人有其他关系，可能影响对案件的公正审理，有权请求上述人员回避。原告</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方听清了没有，是否申请回避？</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原：听清了，不申请回避。</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审：被告方听清了没有，是否申请回避？</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被：听清了，不申请回避。</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审：现在宣布当事人必须履行的诉讼义务。当事人必须遵守诉讼秩序，履行发生法律效力</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的判决、裁定和调解，原告听清了吗？</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left="823" w:hanging="823"/>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原：听清楚了。</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审：被告听清了吗？</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被：听清楚了。</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审：原告是否放弃举证期限？</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原：放弃。</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审：被告是否放弃答辩和举证期限？</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被：放弃。</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调解过程（略）</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left="823" w:hanging="823"/>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审：本案经双方当事人协商，自愿达成如下协议：</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审：双方对上述协议有无异议？有无补充？</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原：没有异议和补充。</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被：没有异议和补充。</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ind w:left="718" w:hanging="718"/>
              <w:jc w:val="left"/>
              <w:rPr>
                <w:rFonts w:ascii="宋体" w:eastAsia="宋体" w:hAnsi="宋体" w:cs="宋体"/>
                <w:color w:val="000000"/>
                <w:kern w:val="0"/>
                <w:sz w:val="24"/>
                <w:szCs w:val="24"/>
              </w:rPr>
            </w:pPr>
            <w:r w:rsidRPr="00B87B01">
              <w:rPr>
                <w:rFonts w:ascii="宋体" w:eastAsia="宋体" w:hAnsi="宋体" w:cs="宋体" w:hint="eastAsia"/>
                <w:color w:val="000000"/>
                <w:kern w:val="0"/>
                <w:szCs w:val="21"/>
              </w:rPr>
              <w:t>审：双方当事人对本协议均无异议和补充，本调解协议成立。双方是否同意调解笔录上签名或捺印后即具有法律效力？</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lastRenderedPageBreak/>
              <w:t>原：同意。</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被：同意。</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审：双方当事人一致同意本调解协议自双方在调解协议笔录上签名或捺印后即具有法律效</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力。</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双方听清楚没有？</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原：听清楚了。</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被：听清楚了。</w:t>
            </w:r>
          </w:p>
        </w:tc>
      </w:tr>
      <w:tr w:rsidR="00B87B01" w:rsidRPr="00B87B01" w:rsidTr="00B87B01">
        <w:tc>
          <w:tcPr>
            <w:tcW w:w="8460" w:type="dxa"/>
            <w:tcBorders>
              <w:top w:val="outset" w:sz="6" w:space="0" w:color="auto"/>
              <w:left w:val="outset" w:sz="6" w:space="0" w:color="auto"/>
              <w:bottom w:val="outset" w:sz="6" w:space="0" w:color="auto"/>
              <w:right w:val="outset" w:sz="6" w:space="0" w:color="auto"/>
            </w:tcBorders>
            <w:shd w:val="clear" w:color="auto" w:fill="FFFFFF"/>
            <w:hideMark/>
          </w:tcPr>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  </w:t>
            </w:r>
          </w:p>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审判员：                                    原告：</w:t>
            </w:r>
          </w:p>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书记员：                       </w:t>
            </w:r>
            <w:bookmarkStart w:id="0" w:name="_GoBack"/>
            <w:bookmarkEnd w:id="0"/>
            <w:r w:rsidRPr="00B87B01">
              <w:rPr>
                <w:rFonts w:ascii="宋体" w:eastAsia="宋体" w:hAnsi="宋体" w:cs="宋体" w:hint="eastAsia"/>
                <w:color w:val="000000"/>
                <w:kern w:val="0"/>
                <w:sz w:val="24"/>
                <w:szCs w:val="24"/>
              </w:rPr>
              <w:t>             被告：   </w:t>
            </w:r>
          </w:p>
          <w:p w:rsidR="00B87B01" w:rsidRPr="00B87B01" w:rsidRDefault="00B87B01" w:rsidP="00B87B01">
            <w:pPr>
              <w:widowControl/>
              <w:spacing w:before="100" w:beforeAutospacing="1" w:after="100" w:afterAutospacing="1"/>
              <w:jc w:val="left"/>
              <w:rPr>
                <w:rFonts w:ascii="宋体" w:eastAsia="宋体" w:hAnsi="宋体" w:cs="宋体"/>
                <w:color w:val="000000"/>
                <w:kern w:val="0"/>
                <w:sz w:val="24"/>
                <w:szCs w:val="24"/>
              </w:rPr>
            </w:pPr>
            <w:r w:rsidRPr="00B87B01">
              <w:rPr>
                <w:rFonts w:ascii="宋体" w:eastAsia="宋体" w:hAnsi="宋体" w:cs="宋体" w:hint="eastAsia"/>
                <w:color w:val="000000"/>
                <w:kern w:val="0"/>
                <w:sz w:val="24"/>
                <w:szCs w:val="24"/>
              </w:rPr>
              <w:t> </w:t>
            </w:r>
          </w:p>
        </w:tc>
      </w:tr>
    </w:tbl>
    <w:p w:rsidR="00231868" w:rsidRPr="00B87B01" w:rsidRDefault="00231868"/>
    <w:sectPr w:rsidR="00231868" w:rsidRPr="00B87B01" w:rsidSect="00B87B01">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_GB2312">
    <w:altName w:val="仿宋"/>
    <w:panose1 w:val="00000000000000000000"/>
    <w:charset w:val="86"/>
    <w:family w:val="roman"/>
    <w:notTrueType/>
    <w:pitch w:val="default"/>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E2C"/>
    <w:rsid w:val="00231868"/>
    <w:rsid w:val="00863E2C"/>
    <w:rsid w:val="00B87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B87B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B87B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505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494</Words>
  <Characters>2821</Characters>
  <Application>Microsoft Office Word</Application>
  <DocSecurity>0</DocSecurity>
  <Lines>23</Lines>
  <Paragraphs>6</Paragraphs>
  <ScaleCrop>false</ScaleCrop>
  <Company>Wolters Kluwer Asia Pacific</Company>
  <LinksUpToDate>false</LinksUpToDate>
  <CharactersWithSpaces>3309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Yunfeng Ye</dc:creator>
  <cp:keywords/>
  <dc:description/>
  <cp:lastModifiedBy>Yunfeng Ye</cp:lastModifiedBy>
  <cp:revision>3</cp:revision>
  <dcterms:created xsi:type="dcterms:W3CDTF">2015-04-14T06:58:00Z</dcterms:created>
  <dcterms:modified xsi:type="dcterms:W3CDTF">2015-04-14T06:59:00Z</dcterms:modified>
</cp:coreProperties>
</file>