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CD576">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附件</w:t>
      </w:r>
      <w:r>
        <w:rPr>
          <w:rFonts w:hint="eastAsia" w:ascii="Times New Roman" w:hAnsi="Times New Roman" w:eastAsia="黑体" w:cs="Times New Roman"/>
          <w:sz w:val="32"/>
          <w:szCs w:val="32"/>
          <w:lang w:val="en-US" w:eastAsia="zh-CN"/>
        </w:rPr>
        <w:t>2</w:t>
      </w:r>
    </w:p>
    <w:p w14:paraId="0440C9C3">
      <w:pPr>
        <w:keepNext w:val="0"/>
        <w:keepLines w:val="0"/>
        <w:pageBreakBefore w:val="0"/>
        <w:widowControl/>
        <w:kinsoku/>
        <w:wordWrap/>
        <w:overflowPunct/>
        <w:topLinePunct w:val="0"/>
        <w:autoSpaceDE/>
        <w:autoSpaceDN/>
        <w:bidi w:val="0"/>
        <w:adjustRightInd/>
        <w:snapToGrid/>
        <w:spacing w:beforeAutospacing="0" w:afterAutospacing="0" w:line="600" w:lineRule="exact"/>
        <w:contextualSpacing/>
        <w:jc w:val="center"/>
        <w:textAlignment w:val="auto"/>
        <w:rPr>
          <w:rFonts w:hint="default" w:ascii="Times New Roman" w:hAnsi="Times New Roman" w:eastAsia="方正小标宋简体" w:cs="Times New Roman"/>
          <w:b w:val="0"/>
          <w:bCs w:val="0"/>
          <w:sz w:val="44"/>
          <w:szCs w:val="44"/>
          <w:lang w:val="en-US" w:eastAsia="zh-CN"/>
        </w:rPr>
      </w:pPr>
    </w:p>
    <w:p w14:paraId="7F3D1405">
      <w:pPr>
        <w:keepNext w:val="0"/>
        <w:keepLines w:val="0"/>
        <w:pageBreakBefore w:val="0"/>
        <w:widowControl/>
        <w:kinsoku/>
        <w:wordWrap/>
        <w:overflowPunct/>
        <w:topLinePunct w:val="0"/>
        <w:autoSpaceDE/>
        <w:autoSpaceDN/>
        <w:bidi w:val="0"/>
        <w:adjustRightInd/>
        <w:snapToGrid/>
        <w:spacing w:beforeAutospacing="0" w:afterAutospacing="0" w:line="600" w:lineRule="exact"/>
        <w:contextualSpacing/>
        <w:jc w:val="center"/>
        <w:textAlignment w:val="auto"/>
        <w:rPr>
          <w:rFonts w:hint="default" w:ascii="Times New Roman" w:hAnsi="Times New Roman" w:eastAsia="方正小标宋简体" w:cs="Times New Roman"/>
          <w:b w:val="0"/>
          <w:bCs w:val="0"/>
          <w:sz w:val="44"/>
          <w:szCs w:val="44"/>
          <w:lang w:val="en-US" w:eastAsia="zh-CN"/>
        </w:rPr>
      </w:pPr>
      <w:bookmarkStart w:id="0" w:name="_GoBack"/>
      <w:r>
        <w:rPr>
          <w:rFonts w:hint="default" w:ascii="Times New Roman" w:hAnsi="Times New Roman" w:eastAsia="方正小标宋简体" w:cs="Times New Roman"/>
          <w:b w:val="0"/>
          <w:bCs w:val="0"/>
          <w:sz w:val="44"/>
          <w:szCs w:val="44"/>
          <w:lang w:val="en-US" w:eastAsia="zh-CN"/>
        </w:rPr>
        <w:t>业务技能考核技术纲要</w:t>
      </w:r>
      <w:bookmarkEnd w:id="0"/>
    </w:p>
    <w:p w14:paraId="16FFEE73">
      <w:pPr>
        <w:keepNext w:val="0"/>
        <w:keepLines w:val="0"/>
        <w:pageBreakBefore w:val="0"/>
        <w:widowControl/>
        <w:kinsoku/>
        <w:wordWrap/>
        <w:overflowPunct/>
        <w:topLinePunct w:val="0"/>
        <w:autoSpaceDE/>
        <w:autoSpaceDN/>
        <w:bidi w:val="0"/>
        <w:adjustRightInd/>
        <w:snapToGrid/>
        <w:spacing w:line="600" w:lineRule="exact"/>
        <w:ind w:firstLine="880" w:firstLineChars="200"/>
        <w:jc w:val="left"/>
        <w:textAlignment w:val="auto"/>
        <w:rPr>
          <w:rFonts w:hint="default" w:ascii="Times New Roman" w:hAnsi="Times New Roman" w:eastAsia="仿宋_GB2312" w:cs="Times New Roman"/>
          <w:sz w:val="44"/>
          <w:szCs w:val="44"/>
          <w:lang w:val="en-US" w:eastAsia="zh-CN"/>
        </w:rPr>
      </w:pPr>
    </w:p>
    <w:p w14:paraId="4AF78035">
      <w:pPr>
        <w:widowControl/>
        <w:overflowPunct w:val="0"/>
        <w:spacing w:line="580" w:lineRule="exact"/>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业务技能考核分技术管理类和技术实施类两种类型考核，</w:t>
      </w:r>
      <w:r>
        <w:rPr>
          <w:rFonts w:hint="eastAsia" w:ascii="Times New Roman" w:hAnsi="Times New Roman" w:eastAsia="仿宋_GB2312" w:cs="Times New Roman"/>
          <w:sz w:val="32"/>
          <w:szCs w:val="32"/>
          <w:lang w:val="en-US" w:eastAsia="zh-CN"/>
        </w:rPr>
        <w:t>总分为100分。</w:t>
      </w:r>
      <w:r>
        <w:rPr>
          <w:rFonts w:hint="default" w:ascii="Times New Roman" w:hAnsi="Times New Roman" w:eastAsia="仿宋_GB2312" w:cs="Times New Roman"/>
          <w:sz w:val="32"/>
          <w:szCs w:val="32"/>
          <w:lang w:val="en-US" w:eastAsia="zh-CN"/>
        </w:rPr>
        <w:t>技术管理类每支参赛队伍的五名选手各自进行地类识别、开展分析评价形成分析评价意见；技术实施类每支参赛队伍的五名选手各自进行变化图斑提取、开展分析评价形成分析评价报告。总时长限制在4小时，各参赛队统筹安排时间，每个环节不另作时长限制</w:t>
      </w:r>
      <w:r>
        <w:rPr>
          <w:rFonts w:hint="default" w:ascii="Times New Roman" w:hAnsi="Times New Roman" w:eastAsia="仿宋_GB2312" w:cs="Times New Roman"/>
          <w:sz w:val="32"/>
          <w:szCs w:val="32"/>
          <w:lang w:eastAsia="zh-CN"/>
        </w:rPr>
        <w:t>。</w:t>
      </w:r>
      <w:r>
        <w:rPr>
          <w:rFonts w:hint="eastAsia" w:ascii="Times New Roman" w:hAnsi="Times New Roman" w:eastAsia="仿宋_GB2312" w:cs="Times New Roman"/>
          <w:sz w:val="32"/>
          <w:szCs w:val="32"/>
          <w:lang w:eastAsia="zh-CN"/>
        </w:rPr>
        <w:t>个人</w:t>
      </w:r>
      <w:r>
        <w:rPr>
          <w:rFonts w:hint="default" w:ascii="Times New Roman" w:hAnsi="Times New Roman" w:eastAsia="仿宋_GB2312" w:cs="Times New Roman"/>
          <w:sz w:val="32"/>
          <w:szCs w:val="32"/>
        </w:rPr>
        <w:t>业务技能考核成绩按70%算入个人竞赛总成绩</w:t>
      </w:r>
      <w:r>
        <w:rPr>
          <w:rFonts w:hint="default" w:ascii="Times New Roman" w:hAnsi="Times New Roman" w:eastAsia="仿宋_GB2312" w:cs="Times New Roman"/>
          <w:color w:val="auto"/>
          <w:sz w:val="32"/>
          <w:szCs w:val="32"/>
          <w:highlight w:val="none"/>
          <w:lang w:eastAsia="zh-CN"/>
        </w:rPr>
        <w:t>。</w:t>
      </w:r>
    </w:p>
    <w:p w14:paraId="681C1C52">
      <w:pPr>
        <w:keepNext w:val="0"/>
        <w:keepLines w:val="0"/>
        <w:pageBreakBefore w:val="0"/>
        <w:widowControl w:val="0"/>
        <w:kinsoku/>
        <w:wordWrap/>
        <w:overflowPunct/>
        <w:topLinePunct w:val="0"/>
        <w:autoSpaceDE/>
        <w:autoSpaceDN/>
        <w:bidi w:val="0"/>
        <w:adjustRightInd/>
        <w:snapToGrid/>
        <w:spacing w:before="157" w:beforeLines="50" w:after="157" w:afterLines="50" w:line="600" w:lineRule="exact"/>
        <w:jc w:val="center"/>
        <w:textAlignment w:val="auto"/>
        <w:rPr>
          <w:rFonts w:hint="default" w:ascii="Times New Roman" w:hAnsi="Times New Roman" w:eastAsia="方正小标宋简体" w:cs="Times New Roman"/>
          <w:b w:val="0"/>
          <w:bCs w:val="0"/>
          <w:kern w:val="0"/>
          <w:sz w:val="36"/>
          <w:szCs w:val="36"/>
          <w:lang w:val="en-US" w:eastAsia="zh-CN"/>
        </w:rPr>
      </w:pPr>
      <w:r>
        <w:rPr>
          <w:rFonts w:hint="default" w:ascii="Times New Roman" w:hAnsi="Times New Roman" w:eastAsia="方正小标宋简体" w:cs="Times New Roman"/>
          <w:b w:val="0"/>
          <w:bCs w:val="0"/>
          <w:kern w:val="0"/>
          <w:sz w:val="36"/>
          <w:szCs w:val="36"/>
          <w:lang w:val="en-US" w:eastAsia="zh-CN"/>
        </w:rPr>
        <w:t>第一部分 地类识别及变化图斑提取</w:t>
      </w:r>
    </w:p>
    <w:p w14:paraId="30A44B49">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kern w:val="2"/>
          <w:sz w:val="32"/>
          <w:szCs w:val="32"/>
          <w:lang w:val="en-US" w:eastAsia="zh-CN" w:bidi="ar-SA"/>
        </w:rPr>
        <w:t>一、</w:t>
      </w:r>
      <w:r>
        <w:rPr>
          <w:rFonts w:hint="default" w:ascii="Times New Roman" w:hAnsi="Times New Roman" w:eastAsia="黑体" w:cs="Times New Roman"/>
          <w:b w:val="0"/>
          <w:bCs w:val="0"/>
          <w:kern w:val="0"/>
          <w:sz w:val="32"/>
          <w:szCs w:val="32"/>
          <w:lang w:val="en-US" w:eastAsia="zh-CN"/>
        </w:rPr>
        <w:t>地类识别（技术管理类）</w:t>
      </w:r>
    </w:p>
    <w:p w14:paraId="420FC27E">
      <w:pPr>
        <w:keepNext w:val="0"/>
        <w:keepLines w:val="0"/>
        <w:spacing w:line="600" w:lineRule="exact"/>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地类识别项目以《第三次全国国土调查技术规程》（TD/T 1055-2019）和</w:t>
      </w:r>
      <w:r>
        <w:rPr>
          <w:rFonts w:hint="default" w:ascii="Times New Roman" w:hAnsi="Times New Roman" w:eastAsia="仿宋_GB2312" w:cs="Times New Roman"/>
          <w:sz w:val="32"/>
          <w:szCs w:val="32"/>
          <w:lang w:eastAsia="zh-CN"/>
        </w:rPr>
        <w:t>2024年度</w:t>
      </w:r>
      <w:r>
        <w:rPr>
          <w:rFonts w:hint="default" w:ascii="Times New Roman" w:hAnsi="Times New Roman" w:eastAsia="仿宋_GB2312" w:cs="Times New Roman"/>
          <w:sz w:val="32"/>
          <w:szCs w:val="32"/>
          <w:lang w:val="en-US" w:eastAsia="zh-CN"/>
        </w:rPr>
        <w:t>《全国国土变更调查实施方案》《国土变更调查技术规程》</w:t>
      </w:r>
      <w:r>
        <w:rPr>
          <w:rFonts w:hint="eastAsia" w:ascii="Times New Roman" w:hAnsi="Times New Roman" w:eastAsia="仿宋_GB2312" w:cs="Times New Roman"/>
          <w:sz w:val="32"/>
          <w:szCs w:val="32"/>
          <w:lang w:val="en-US" w:eastAsia="zh-CN"/>
        </w:rPr>
        <w:t>《浙江省自然资源厅 浙江省林业局关于落实耕林园草空间治理试点意见推进国土变更调查和林草湿普查工作的通知》《</w:t>
      </w:r>
      <w:r>
        <w:rPr>
          <w:rFonts w:hint="eastAsia" w:ascii="Times New Roman" w:hAnsi="Times New Roman" w:eastAsia="仿宋_GB2312" w:cs="Times New Roman"/>
          <w:sz w:val="32"/>
          <w:szCs w:val="32"/>
        </w:rPr>
        <w:t>浙江省自然资源厅</w:t>
      </w:r>
      <w:r>
        <w:rPr>
          <w:rFonts w:hint="eastAsia" w:ascii="Times New Roman" w:hAnsi="Times New Roman" w:eastAsia="仿宋_GB2312" w:cs="Times New Roman"/>
          <w:sz w:val="32"/>
          <w:szCs w:val="32"/>
          <w:lang w:val="en-US" w:eastAsia="zh-CN"/>
        </w:rPr>
        <w:t xml:space="preserve"> </w:t>
      </w:r>
      <w:r>
        <w:rPr>
          <w:rFonts w:hint="eastAsia" w:ascii="Times New Roman" w:hAnsi="Times New Roman" w:eastAsia="仿宋_GB2312" w:cs="Times New Roman"/>
          <w:sz w:val="32"/>
          <w:szCs w:val="32"/>
        </w:rPr>
        <w:t>浙江省林业局关于印发林草湿管理类型和国土绿化空间标注补充规则的通知</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等文件作为主要考核标准，重点考核参赛选手地类和属性识别能力。</w:t>
      </w:r>
    </w:p>
    <w:p w14:paraId="0810B436">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default" w:ascii="Times New Roman" w:hAnsi="Times New Roman" w:eastAsia="楷体_GB2312" w:cs="Times New Roman"/>
          <w:b w:val="0"/>
          <w:bCs w:val="0"/>
          <w:sz w:val="32"/>
          <w:szCs w:val="32"/>
          <w:lang w:val="en-US" w:eastAsia="zh-CN"/>
        </w:rPr>
      </w:pPr>
      <w:r>
        <w:rPr>
          <w:rFonts w:hint="default" w:ascii="Times New Roman" w:hAnsi="Times New Roman" w:eastAsia="楷体_GB2312" w:cs="Times New Roman"/>
          <w:b w:val="0"/>
          <w:bCs w:val="0"/>
          <w:sz w:val="32"/>
          <w:szCs w:val="32"/>
          <w:lang w:val="en-US" w:eastAsia="zh-CN"/>
        </w:rPr>
        <w:t>1.</w:t>
      </w:r>
      <w:r>
        <w:rPr>
          <w:rFonts w:hint="default" w:ascii="Times New Roman" w:hAnsi="Times New Roman" w:eastAsia="楷体_GB2312" w:cs="Times New Roman"/>
          <w:sz w:val="32"/>
          <w:szCs w:val="32"/>
          <w:lang w:val="en-US" w:eastAsia="zh-CN"/>
        </w:rPr>
        <w:t>技能操作考核内容</w:t>
      </w:r>
    </w:p>
    <w:p w14:paraId="3B426659">
      <w:pPr>
        <w:keepNext w:val="0"/>
        <w:keepLines w:val="0"/>
        <w:spacing w:line="600" w:lineRule="exact"/>
        <w:ind w:firstLine="640" w:firstLineChars="200"/>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sz w:val="32"/>
          <w:szCs w:val="32"/>
          <w:lang w:val="en-US" w:eastAsia="zh-CN"/>
        </w:rPr>
        <w:t>每位参赛选手需单独在组委会选定范围的任务区域内，基于竞赛组委会提供的</w:t>
      </w:r>
      <w:r>
        <w:rPr>
          <w:rFonts w:hint="eastAsia" w:ascii="Times New Roman" w:hAnsi="Times New Roman" w:eastAsia="仿宋_GB2312" w:cs="Times New Roman"/>
          <w:sz w:val="32"/>
          <w:szCs w:val="32"/>
          <w:lang w:val="en-US" w:eastAsia="zh-CN"/>
        </w:rPr>
        <w:t>参考资料</w:t>
      </w:r>
      <w:r>
        <w:rPr>
          <w:rFonts w:hint="default" w:ascii="Times New Roman" w:hAnsi="Times New Roman" w:eastAsia="仿宋_GB2312" w:cs="Times New Roman"/>
          <w:sz w:val="32"/>
          <w:szCs w:val="32"/>
          <w:lang w:val="en-US" w:eastAsia="zh-CN"/>
        </w:rPr>
        <w:t>，在规定的时间内完成图斑地类和属性识别工作。</w:t>
      </w:r>
    </w:p>
    <w:p w14:paraId="3795E6F2">
      <w:pPr>
        <w:keepNext w:val="0"/>
        <w:keepLines w:val="0"/>
        <w:spacing w:line="600" w:lineRule="exact"/>
        <w:ind w:firstLine="640" w:firstLineChars="200"/>
        <w:jc w:val="left"/>
        <w:rPr>
          <w:rFonts w:hint="default" w:ascii="Times New Roman" w:hAnsi="Times New Roman" w:eastAsia="楷体_GB2312" w:cs="Times New Roman"/>
          <w:b w:val="0"/>
          <w:bCs w:val="0"/>
          <w:sz w:val="32"/>
          <w:szCs w:val="32"/>
          <w:lang w:val="en-US" w:eastAsia="zh-CN"/>
        </w:rPr>
      </w:pPr>
      <w:r>
        <w:rPr>
          <w:rFonts w:hint="default" w:ascii="Times New Roman" w:hAnsi="Times New Roman" w:eastAsia="楷体_GB2312" w:cs="Times New Roman"/>
          <w:b w:val="0"/>
          <w:bCs w:val="0"/>
          <w:sz w:val="32"/>
          <w:szCs w:val="32"/>
          <w:lang w:val="en-US" w:eastAsia="zh-CN"/>
        </w:rPr>
        <w:t>2.主要考核点</w:t>
      </w:r>
    </w:p>
    <w:p w14:paraId="069A8999">
      <w:pPr>
        <w:keepNext w:val="0"/>
        <w:keepLines w:val="0"/>
        <w:spacing w:line="600" w:lineRule="exact"/>
        <w:ind w:firstLine="640" w:firstLineChars="200"/>
        <w:rPr>
          <w:rFonts w:hint="default" w:ascii="Times New Roman" w:hAnsi="Times New Roman" w:eastAsia="仿宋_GB2312" w:cs="Times New Roman"/>
          <w:lang w:val="en-US" w:eastAsia="zh-CN"/>
        </w:rPr>
      </w:pPr>
      <w:r>
        <w:rPr>
          <w:rFonts w:hint="default" w:ascii="Times New Roman" w:hAnsi="Times New Roman" w:eastAsia="仿宋_GB2312" w:cs="Times New Roman"/>
          <w:sz w:val="32"/>
          <w:szCs w:val="32"/>
          <w:lang w:val="en-US" w:eastAsia="zh-CN"/>
        </w:rPr>
        <w:t>根据参赛选手在规定时间内完成的图斑地类属性识别成果质量进行评分，包括图斑地类、属性准确性。</w:t>
      </w:r>
    </w:p>
    <w:p w14:paraId="46BC74FF">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default" w:ascii="Times New Roman" w:hAnsi="Times New Roman" w:eastAsia="楷体_GB2312" w:cs="Times New Roman"/>
          <w:b w:val="0"/>
          <w:bCs w:val="0"/>
          <w:sz w:val="32"/>
          <w:szCs w:val="32"/>
          <w:lang w:val="en-US" w:eastAsia="zh-CN"/>
        </w:rPr>
      </w:pPr>
      <w:r>
        <w:rPr>
          <w:rFonts w:hint="default" w:ascii="Times New Roman" w:hAnsi="Times New Roman" w:eastAsia="楷体_GB2312" w:cs="Times New Roman"/>
          <w:b w:val="0"/>
          <w:bCs w:val="0"/>
          <w:sz w:val="32"/>
          <w:szCs w:val="32"/>
          <w:lang w:val="en-US" w:eastAsia="zh-CN"/>
        </w:rPr>
        <w:t>3.提供资料</w:t>
      </w:r>
    </w:p>
    <w:p w14:paraId="2EB8C2DF">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lang w:val="en-US" w:eastAsia="zh-CN"/>
        </w:rPr>
        <w:t>竞赛组委会现场下发竞赛参考资料，包括影像、举证照片、基础数据</w:t>
      </w:r>
      <w:r>
        <w:rPr>
          <w:rFonts w:hint="eastAsia" w:ascii="Times New Roman" w:hAnsi="Times New Roman" w:eastAsia="仿宋_GB2312" w:cs="Times New Roman"/>
          <w:sz w:val="32"/>
          <w:szCs w:val="32"/>
          <w:lang w:val="en-US" w:eastAsia="zh-CN"/>
        </w:rPr>
        <w:t>、用地管理信息</w:t>
      </w:r>
      <w:r>
        <w:rPr>
          <w:rFonts w:hint="default" w:ascii="Times New Roman" w:hAnsi="Times New Roman" w:eastAsia="仿宋_GB2312" w:cs="Times New Roman"/>
          <w:sz w:val="32"/>
          <w:szCs w:val="32"/>
          <w:lang w:val="en-US" w:eastAsia="zh-CN"/>
        </w:rPr>
        <w:t>等。</w:t>
      </w:r>
    </w:p>
    <w:p w14:paraId="22DEA1AE">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default" w:ascii="Times New Roman" w:hAnsi="Times New Roman" w:eastAsia="楷体_GB2312" w:cs="Times New Roman"/>
          <w:b w:val="0"/>
          <w:bCs w:val="0"/>
          <w:sz w:val="32"/>
          <w:szCs w:val="32"/>
          <w:lang w:val="en-US" w:eastAsia="zh-CN"/>
        </w:rPr>
      </w:pPr>
      <w:r>
        <w:rPr>
          <w:rFonts w:hint="default" w:ascii="Times New Roman" w:hAnsi="Times New Roman" w:eastAsia="楷体_GB2312" w:cs="Times New Roman"/>
          <w:b w:val="0"/>
          <w:bCs w:val="0"/>
          <w:sz w:val="32"/>
          <w:szCs w:val="32"/>
          <w:lang w:val="en-US" w:eastAsia="zh-CN"/>
        </w:rPr>
        <w:t>4.技术要求</w:t>
      </w:r>
    </w:p>
    <w:p w14:paraId="51CF0F5A">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4.1基于任务区域范围，开展图斑地类和属性识别，并按要求形成成果。</w:t>
      </w:r>
    </w:p>
    <w:p w14:paraId="094DFCC1">
      <w:pPr>
        <w:keepNext w:val="0"/>
        <w:keepLines w:val="0"/>
        <w:spacing w:line="600" w:lineRule="exact"/>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4.2竞赛过程中选手不得使用任何智能识别等其他辅助工具。</w:t>
      </w:r>
    </w:p>
    <w:p w14:paraId="1F323244">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黑体" w:cs="Times New Roman"/>
          <w:b w:val="0"/>
          <w:bCs w:val="0"/>
          <w:sz w:val="32"/>
          <w:szCs w:val="32"/>
          <w:lang w:val="en-US" w:eastAsia="zh-CN"/>
        </w:rPr>
      </w:pPr>
      <w:r>
        <w:rPr>
          <w:rFonts w:hint="default" w:ascii="Times New Roman" w:hAnsi="Times New Roman" w:eastAsia="黑体" w:cs="Times New Roman"/>
          <w:b w:val="0"/>
          <w:bCs w:val="0"/>
          <w:kern w:val="2"/>
          <w:sz w:val="32"/>
          <w:szCs w:val="32"/>
          <w:lang w:val="en-US" w:eastAsia="zh-CN" w:bidi="ar-SA"/>
        </w:rPr>
        <w:t>二、</w:t>
      </w:r>
      <w:r>
        <w:rPr>
          <w:rFonts w:hint="default" w:ascii="Times New Roman" w:hAnsi="Times New Roman" w:eastAsia="黑体" w:cs="Times New Roman"/>
          <w:b w:val="0"/>
          <w:bCs w:val="0"/>
          <w:kern w:val="2"/>
          <w:sz w:val="32"/>
          <w:szCs w:val="32"/>
          <w:lang w:val="en-US" w:eastAsia="zh-CN"/>
        </w:rPr>
        <w:t>变化图斑提取（技术实施类）</w:t>
      </w:r>
    </w:p>
    <w:p w14:paraId="6B200EB8">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sz w:val="32"/>
          <w:szCs w:val="32"/>
          <w:lang w:val="en-US" w:eastAsia="zh-CN"/>
        </w:rPr>
        <w:t>变化图斑提取项目以《自然资源调查监测标准体系（试行）》《第三次全国国土调查技术规程》（TD/T 1055-2019）和</w:t>
      </w:r>
      <w:r>
        <w:rPr>
          <w:rFonts w:hint="default" w:ascii="Times New Roman" w:hAnsi="Times New Roman" w:eastAsia="仿宋_GB2312" w:cs="Times New Roman"/>
          <w:sz w:val="32"/>
          <w:szCs w:val="32"/>
          <w:lang w:eastAsia="zh-CN"/>
        </w:rPr>
        <w:t>2024年度</w:t>
      </w:r>
      <w:r>
        <w:rPr>
          <w:rFonts w:hint="default" w:ascii="Times New Roman" w:hAnsi="Times New Roman" w:eastAsia="仿宋_GB2312" w:cs="Times New Roman"/>
          <w:sz w:val="32"/>
          <w:szCs w:val="32"/>
          <w:lang w:val="en-US" w:eastAsia="zh-CN"/>
        </w:rPr>
        <w:t>《全国国土变更调查实施方案》中的</w:t>
      </w:r>
      <w:r>
        <w:rPr>
          <w:rFonts w:hint="default" w:ascii="Times New Roman" w:hAnsi="Times New Roman" w:eastAsia="仿宋_GB2312" w:cs="Times New Roman"/>
          <w:b w:val="0"/>
          <w:bCs w:val="0"/>
          <w:color w:val="000000"/>
          <w:sz w:val="32"/>
          <w:szCs w:val="32"/>
          <w:highlight w:val="none"/>
        </w:rPr>
        <w:t>变化信息</w:t>
      </w:r>
      <w:r>
        <w:rPr>
          <w:rFonts w:hint="default" w:ascii="Times New Roman" w:hAnsi="Times New Roman" w:eastAsia="仿宋_GB2312" w:cs="Times New Roman"/>
          <w:sz w:val="32"/>
          <w:szCs w:val="32"/>
          <w:lang w:val="en-US" w:eastAsia="zh-CN"/>
        </w:rPr>
        <w:t>提取工作内容为主要考核标准，重点考查参赛选手图斑提取的完整性、准确性和变化类型判读能力等。</w:t>
      </w:r>
    </w:p>
    <w:p w14:paraId="7308B14C">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default" w:ascii="Times New Roman" w:hAnsi="Times New Roman" w:eastAsia="楷体_GB2312" w:cs="Times New Roman"/>
          <w:b w:val="0"/>
          <w:bCs w:val="0"/>
          <w:sz w:val="32"/>
          <w:szCs w:val="32"/>
          <w:lang w:val="en-US" w:eastAsia="zh-CN"/>
        </w:rPr>
      </w:pPr>
      <w:r>
        <w:rPr>
          <w:rFonts w:hint="default" w:ascii="Times New Roman" w:hAnsi="Times New Roman" w:eastAsia="楷体_GB2312" w:cs="Times New Roman"/>
          <w:b w:val="0"/>
          <w:bCs w:val="0"/>
          <w:sz w:val="32"/>
          <w:szCs w:val="32"/>
          <w:lang w:val="en-US" w:eastAsia="zh-CN"/>
        </w:rPr>
        <w:t>1.</w:t>
      </w:r>
      <w:r>
        <w:rPr>
          <w:rFonts w:hint="default" w:ascii="Times New Roman" w:hAnsi="Times New Roman" w:eastAsia="楷体_GB2312" w:cs="Times New Roman"/>
          <w:sz w:val="32"/>
          <w:szCs w:val="32"/>
          <w:lang w:val="en-US" w:eastAsia="zh-CN"/>
        </w:rPr>
        <w:t>技能操作考核内容</w:t>
      </w:r>
    </w:p>
    <w:p w14:paraId="7A91C062">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每位参赛选手需单独在组委会选定范围的任务区域内，基于竞赛组委会提供的变化图斑提取的标准和成果格式要求，在规定的时间内完成图斑提取和变化类型判读工作。</w:t>
      </w:r>
    </w:p>
    <w:p w14:paraId="7D49C851">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default" w:ascii="Times New Roman" w:hAnsi="Times New Roman" w:eastAsia="楷体_GB2312" w:cs="Times New Roman"/>
          <w:b w:val="0"/>
          <w:bCs w:val="0"/>
          <w:sz w:val="32"/>
          <w:szCs w:val="32"/>
          <w:lang w:val="en-US" w:eastAsia="zh-CN"/>
        </w:rPr>
      </w:pPr>
      <w:r>
        <w:rPr>
          <w:rFonts w:hint="default" w:ascii="Times New Roman" w:hAnsi="Times New Roman" w:eastAsia="楷体_GB2312" w:cs="Times New Roman"/>
          <w:b w:val="0"/>
          <w:bCs w:val="0"/>
          <w:sz w:val="32"/>
          <w:szCs w:val="32"/>
          <w:lang w:val="en-US" w:eastAsia="zh-CN"/>
        </w:rPr>
        <w:t>2.主要考核点</w:t>
      </w:r>
    </w:p>
    <w:p w14:paraId="73B6419D">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根据参赛选手在规定时间内完成的图斑提取成果质量进行评分，包括提取图斑完整性、边界正确性和变化类型准确性。</w:t>
      </w:r>
    </w:p>
    <w:p w14:paraId="7C827FFD">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default" w:ascii="Times New Roman" w:hAnsi="Times New Roman" w:eastAsia="楷体_GB2312" w:cs="Times New Roman"/>
          <w:b w:val="0"/>
          <w:bCs w:val="0"/>
          <w:sz w:val="32"/>
          <w:szCs w:val="32"/>
          <w:lang w:val="en-US" w:eastAsia="zh-CN"/>
        </w:rPr>
      </w:pPr>
      <w:r>
        <w:rPr>
          <w:rFonts w:hint="default" w:ascii="Times New Roman" w:hAnsi="Times New Roman" w:eastAsia="楷体_GB2312" w:cs="Times New Roman"/>
          <w:b w:val="0"/>
          <w:bCs w:val="0"/>
          <w:sz w:val="32"/>
          <w:szCs w:val="32"/>
          <w:lang w:val="en-US" w:eastAsia="zh-CN"/>
        </w:rPr>
        <w:t>3.提供资料</w:t>
      </w:r>
    </w:p>
    <w:p w14:paraId="0FFFD048">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lang w:val="en-US" w:eastAsia="zh-CN"/>
        </w:rPr>
        <w:t>竞赛组委会现场下发竞赛任务区域参考资料和图斑提取要求。</w:t>
      </w:r>
    </w:p>
    <w:p w14:paraId="40FFF118">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default" w:ascii="Times New Roman" w:hAnsi="Times New Roman" w:eastAsia="楷体_GB2312" w:cs="Times New Roman"/>
          <w:b w:val="0"/>
          <w:bCs w:val="0"/>
          <w:sz w:val="32"/>
          <w:szCs w:val="32"/>
          <w:lang w:val="en-US" w:eastAsia="zh-CN"/>
        </w:rPr>
      </w:pPr>
      <w:r>
        <w:rPr>
          <w:rFonts w:hint="default" w:ascii="Times New Roman" w:hAnsi="Times New Roman" w:eastAsia="楷体_GB2312" w:cs="Times New Roman"/>
          <w:b w:val="0"/>
          <w:bCs w:val="0"/>
          <w:sz w:val="32"/>
          <w:szCs w:val="32"/>
          <w:lang w:val="en-US" w:eastAsia="zh-CN"/>
        </w:rPr>
        <w:t>4.技术要求</w:t>
      </w:r>
    </w:p>
    <w:p w14:paraId="4341C806">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4.1使用ARGIS10.2.2工具，基于任务区域范围，开展变化图斑提取和变化类型判读工作。</w:t>
      </w:r>
    </w:p>
    <w:p w14:paraId="326D61DA">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4.2参赛选手根据竞赛组委会提供的提取要求开展变化图斑的提取和变化类型判读，并按要求形成成果。</w:t>
      </w:r>
    </w:p>
    <w:p w14:paraId="732364E0">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4.3竞赛过程中选手不得使用任何智能提取工具。</w:t>
      </w:r>
    </w:p>
    <w:p w14:paraId="5291887A">
      <w:pPr>
        <w:keepNext w:val="0"/>
        <w:keepLines w:val="0"/>
        <w:pageBreakBefore w:val="0"/>
        <w:widowControl w:val="0"/>
        <w:kinsoku/>
        <w:wordWrap/>
        <w:overflowPunct/>
        <w:topLinePunct w:val="0"/>
        <w:autoSpaceDE/>
        <w:autoSpaceDN/>
        <w:bidi w:val="0"/>
        <w:adjustRightInd/>
        <w:snapToGrid/>
        <w:spacing w:before="313" w:beforeLines="100" w:after="313" w:afterLines="100" w:line="600" w:lineRule="exact"/>
        <w:jc w:val="center"/>
        <w:textAlignment w:val="auto"/>
        <w:rPr>
          <w:rFonts w:hint="default" w:ascii="Times New Roman" w:hAnsi="Times New Roman" w:eastAsia="方正小标宋简体" w:cs="Times New Roman"/>
          <w:sz w:val="36"/>
          <w:szCs w:val="36"/>
          <w:lang w:val="en-US" w:eastAsia="zh-CN"/>
        </w:rPr>
      </w:pPr>
      <w:r>
        <w:rPr>
          <w:rFonts w:hint="default" w:ascii="Times New Roman" w:hAnsi="Times New Roman" w:eastAsia="方正小标宋简体" w:cs="Times New Roman"/>
          <w:b w:val="0"/>
          <w:bCs w:val="0"/>
          <w:kern w:val="0"/>
          <w:sz w:val="36"/>
          <w:szCs w:val="36"/>
          <w:lang w:val="en-US" w:eastAsia="zh-CN"/>
        </w:rPr>
        <w:t>第二部分 数据分析评价</w:t>
      </w:r>
    </w:p>
    <w:p w14:paraId="478C0A92">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jc w:val="left"/>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一、技能操作考核内容（技术管理类）</w:t>
      </w:r>
    </w:p>
    <w:p w14:paraId="13A68557">
      <w:pPr>
        <w:widowControl w:val="0"/>
        <w:spacing w:line="600" w:lineRule="exact"/>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每位参赛选手根据竞赛组委会提供的自然资源调查监测统计汇总数据，开展综合分析和评价，形成分析评价意见。</w:t>
      </w:r>
    </w:p>
    <w:p w14:paraId="50F97583">
      <w:pPr>
        <w:widowControl w:val="0"/>
        <w:spacing w:line="600" w:lineRule="exact"/>
        <w:ind w:firstLine="640" w:firstLineChars="200"/>
        <w:jc w:val="left"/>
        <w:rPr>
          <w:rFonts w:hint="default" w:ascii="Times New Roman" w:hAnsi="Times New Roman" w:eastAsia="楷体_GB2312" w:cs="Times New Roman"/>
          <w:sz w:val="32"/>
          <w:szCs w:val="32"/>
          <w:lang w:val="en-US" w:eastAsia="zh-CN"/>
        </w:rPr>
      </w:pPr>
      <w:r>
        <w:rPr>
          <w:rFonts w:hint="default" w:ascii="Times New Roman" w:hAnsi="Times New Roman" w:eastAsia="楷体_GB2312" w:cs="Times New Roman"/>
          <w:sz w:val="32"/>
          <w:szCs w:val="32"/>
          <w:lang w:val="en-US" w:eastAsia="zh-CN"/>
        </w:rPr>
        <w:t>1.分析</w:t>
      </w:r>
    </w:p>
    <w:p w14:paraId="0E7859F9">
      <w:pPr>
        <w:widowControl w:val="0"/>
        <w:spacing w:line="600" w:lineRule="exact"/>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基于下发统计数据，从数量、质量、结构、生态功能等方向选取合适的角度进行分析，研判自然资源变化情况及发展趋势，综合分析自然资源、生态环境的整体情况。</w:t>
      </w:r>
    </w:p>
    <w:p w14:paraId="3B189D53">
      <w:pPr>
        <w:widowControl w:val="0"/>
        <w:spacing w:line="600" w:lineRule="exact"/>
        <w:ind w:firstLine="640" w:firstLineChars="200"/>
        <w:jc w:val="left"/>
        <w:rPr>
          <w:rFonts w:hint="default" w:ascii="Times New Roman" w:hAnsi="Times New Roman" w:eastAsia="楷体_GB2312" w:cs="Times New Roman"/>
          <w:sz w:val="32"/>
          <w:szCs w:val="32"/>
          <w:lang w:val="en-US" w:eastAsia="zh-CN"/>
        </w:rPr>
      </w:pPr>
      <w:r>
        <w:rPr>
          <w:rFonts w:hint="default" w:ascii="Times New Roman" w:hAnsi="Times New Roman" w:eastAsia="楷体_GB2312" w:cs="Times New Roman"/>
          <w:sz w:val="32"/>
          <w:szCs w:val="32"/>
          <w:lang w:val="en-US" w:eastAsia="zh-CN"/>
        </w:rPr>
        <w:t>2.评价</w:t>
      </w:r>
    </w:p>
    <w:p w14:paraId="5D18D023">
      <w:pPr>
        <w:widowControl w:val="0"/>
        <w:spacing w:line="600" w:lineRule="exact"/>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根据分析情况，结合当前自然资源管理的需要，评价自然资源要素之间、人类生存发展与自然资源之间、区域之间、经济社会与区域发展之间的协调关系。</w:t>
      </w:r>
    </w:p>
    <w:p w14:paraId="4ABCD8CB">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jc w:val="left"/>
        <w:textAlignment w:val="auto"/>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二、技能操作考核内容（技术实施类）</w:t>
      </w:r>
    </w:p>
    <w:p w14:paraId="160ABBA5">
      <w:pPr>
        <w:widowControl w:val="0"/>
        <w:spacing w:line="600" w:lineRule="exact"/>
        <w:ind w:firstLine="640" w:firstLineChars="200"/>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sz w:val="32"/>
          <w:szCs w:val="32"/>
          <w:lang w:val="en-US" w:eastAsia="zh-CN"/>
        </w:rPr>
        <w:t>每位参赛选手</w:t>
      </w:r>
      <w:r>
        <w:rPr>
          <w:rFonts w:hint="default" w:ascii="Times New Roman" w:hAnsi="Times New Roman" w:eastAsia="仿宋_GB2312" w:cs="Times New Roman"/>
          <w:kern w:val="2"/>
          <w:sz w:val="32"/>
          <w:szCs w:val="32"/>
          <w:lang w:val="en-US" w:eastAsia="zh-CN" w:bidi="ar-SA"/>
        </w:rPr>
        <w:t>根据已经竞赛组委会提供的区域数据成果和各类管理信息，统计汇总自然资源调查监测数据，建立科学的评价指标，开展综合分析和系统评价，形成并提交统计分析评价报告。</w:t>
      </w:r>
    </w:p>
    <w:p w14:paraId="295639B3">
      <w:pPr>
        <w:widowControl w:val="0"/>
        <w:spacing w:line="600" w:lineRule="exact"/>
        <w:ind w:firstLine="640" w:firstLineChars="200"/>
        <w:jc w:val="left"/>
        <w:rPr>
          <w:rFonts w:hint="default" w:ascii="Times New Roman" w:hAnsi="Times New Roman" w:eastAsia="楷体_GB2312" w:cs="Times New Roman"/>
          <w:kern w:val="2"/>
          <w:sz w:val="32"/>
          <w:szCs w:val="32"/>
          <w:lang w:val="en-US" w:eastAsia="zh-CN" w:bidi="ar-SA"/>
        </w:rPr>
      </w:pPr>
      <w:r>
        <w:rPr>
          <w:rFonts w:hint="default" w:ascii="Times New Roman" w:hAnsi="Times New Roman" w:eastAsia="楷体_GB2312" w:cs="Times New Roman"/>
          <w:kern w:val="2"/>
          <w:sz w:val="32"/>
          <w:szCs w:val="32"/>
          <w:lang w:val="en-US" w:eastAsia="zh-CN" w:bidi="ar-SA"/>
        </w:rPr>
        <w:t>1.统计</w:t>
      </w:r>
    </w:p>
    <w:p w14:paraId="202C8878">
      <w:pPr>
        <w:widowControl w:val="0"/>
        <w:spacing w:line="600" w:lineRule="exact"/>
        <w:ind w:firstLine="640" w:firstLineChars="200"/>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按照自然资源调查监测统计指标，开展自然资源基础统计，分类、分项统计自然资源调查监测数据，形成基本的自然资源现状和变化成果。</w:t>
      </w:r>
    </w:p>
    <w:p w14:paraId="4E2AA8AC">
      <w:pPr>
        <w:widowControl w:val="0"/>
        <w:spacing w:line="600" w:lineRule="exact"/>
        <w:ind w:firstLine="640" w:firstLineChars="200"/>
        <w:jc w:val="left"/>
        <w:rPr>
          <w:rFonts w:hint="default" w:ascii="Times New Roman" w:hAnsi="Times New Roman" w:eastAsia="楷体_GB2312" w:cs="Times New Roman"/>
          <w:kern w:val="2"/>
          <w:sz w:val="32"/>
          <w:szCs w:val="32"/>
          <w:lang w:val="en-US" w:eastAsia="zh-CN" w:bidi="ar-SA"/>
        </w:rPr>
      </w:pPr>
      <w:r>
        <w:rPr>
          <w:rFonts w:hint="default" w:ascii="Times New Roman" w:hAnsi="Times New Roman" w:eastAsia="楷体_GB2312" w:cs="Times New Roman"/>
          <w:kern w:val="2"/>
          <w:sz w:val="32"/>
          <w:szCs w:val="32"/>
          <w:lang w:val="en-US" w:eastAsia="zh-CN" w:bidi="ar-SA"/>
        </w:rPr>
        <w:t>2.分析</w:t>
      </w:r>
    </w:p>
    <w:p w14:paraId="2B47A16F">
      <w:pPr>
        <w:widowControl w:val="0"/>
        <w:spacing w:line="600" w:lineRule="exact"/>
        <w:ind w:firstLine="640" w:firstLineChars="200"/>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基于统计结果等，从数量、质量、结构、生态功能等方向选取合适的角度进行分析，研判自然资源变化情况及发展趋势，综合分析自然资源、生态环境的整体情况。</w:t>
      </w:r>
    </w:p>
    <w:p w14:paraId="4C0C4B3D">
      <w:pPr>
        <w:widowControl w:val="0"/>
        <w:spacing w:line="600" w:lineRule="exact"/>
        <w:ind w:firstLine="640" w:firstLineChars="200"/>
        <w:jc w:val="left"/>
        <w:rPr>
          <w:rFonts w:hint="default" w:ascii="Times New Roman" w:hAnsi="Times New Roman" w:eastAsia="楷体_GB2312" w:cs="Times New Roman"/>
          <w:kern w:val="2"/>
          <w:sz w:val="32"/>
          <w:szCs w:val="32"/>
          <w:lang w:val="en-US" w:eastAsia="zh-CN" w:bidi="ar-SA"/>
        </w:rPr>
      </w:pPr>
      <w:r>
        <w:rPr>
          <w:rFonts w:hint="default" w:ascii="Times New Roman" w:hAnsi="Times New Roman" w:eastAsia="楷体_GB2312" w:cs="Times New Roman"/>
          <w:kern w:val="2"/>
          <w:sz w:val="32"/>
          <w:szCs w:val="32"/>
          <w:lang w:val="en-US" w:eastAsia="zh-CN" w:bidi="ar-SA"/>
        </w:rPr>
        <w:t>3.评价</w:t>
      </w:r>
    </w:p>
    <w:p w14:paraId="1DC7EFCB">
      <w:pPr>
        <w:widowControl w:val="0"/>
        <w:spacing w:line="600" w:lineRule="exact"/>
        <w:ind w:firstLine="640" w:firstLineChars="200"/>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建立自然资源调查监测评价指标体系，评价自然资源要素之间、人类生存发展与自然资源之间、区域之间、经济社会与区域发展之间的协调关系。</w:t>
      </w:r>
    </w:p>
    <w:p w14:paraId="6F2DC47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0000000000000000000"/>
    <w:charset w:val="86"/>
    <w:family w:val="auto"/>
    <w:pitch w:val="default"/>
    <w:sig w:usb0="800002BF" w:usb1="38CF7CF8" w:usb2="00000016" w:usb3="00000000" w:csb0="00040000"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仿宋_GB2312">
    <w:altName w:val="方正仿宋_GBK"/>
    <w:panose1 w:val="02010609030101010101"/>
    <w:charset w:val="00"/>
    <w:family w:val="modern"/>
    <w:pitch w:val="default"/>
    <w:sig w:usb0="00000000" w:usb1="00000000" w:usb2="00000000" w:usb3="00000000" w:csb0="00040000" w:csb1="00000000"/>
  </w:font>
  <w:font w:name="方正小标宋简体">
    <w:panose1 w:val="02000000000000000000"/>
    <w:charset w:val="86"/>
    <w:family w:val="script"/>
    <w:pitch w:val="default"/>
    <w:sig w:usb0="00000001" w:usb1="08000000" w:usb2="00000000" w:usb3="00000000" w:csb0="00040000" w:csb1="00000000"/>
  </w:font>
  <w:font w:name="楷体_GB2312">
    <w:altName w:val="汉仪楷体简"/>
    <w:panose1 w:val="02010609030101010101"/>
    <w:charset w:val="00"/>
    <w:family w:val="auto"/>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4D00AB"/>
    <w:rsid w:val="F74D0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First Indent"/>
    <w:basedOn w:val="3"/>
    <w:next w:val="3"/>
    <w:qFormat/>
    <w:uiPriority w:val="0"/>
    <w:pPr>
      <w:autoSpaceDE w:val="0"/>
      <w:autoSpaceDN w:val="0"/>
      <w:spacing w:after="0" w:line="500" w:lineRule="exact"/>
      <w:ind w:left="106" w:firstLine="420"/>
      <w:jc w:val="left"/>
    </w:pPr>
    <w:rPr>
      <w:rFonts w:ascii="仿宋_GB2312" w:hAnsi="仿宋_GB2312" w:eastAsia="仿宋_GB2312" w:cs="仿宋_GB2312"/>
      <w:kern w:val="0"/>
      <w:sz w:val="32"/>
      <w:szCs w:val="28"/>
      <w:lang w:val="zh-CN" w:bidi="zh-CN"/>
    </w:rPr>
  </w:style>
  <w:style w:type="paragraph" w:styleId="3">
    <w:name w:val="Body Text"/>
    <w:basedOn w:val="1"/>
    <w:next w:val="4"/>
    <w:qFormat/>
    <w:uiPriority w:val="99"/>
    <w:pPr>
      <w:spacing w:after="120"/>
    </w:pPr>
    <w:rPr>
      <w:rFonts w:ascii="Times New Roman" w:hAnsi="Times New Roman" w:eastAsia="宋体" w:cs="Times New Roman"/>
    </w:rPr>
  </w:style>
  <w:style w:type="paragraph" w:styleId="4">
    <w:name w:val="toc 5"/>
    <w:basedOn w:val="1"/>
    <w:next w:val="1"/>
    <w:qFormat/>
    <w:uiPriority w:val="0"/>
    <w:pPr>
      <w:ind w:left="1680" w:leftChars="8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2025-07-29T16:42:00Z</dcterms:created>
  <dc:creator>一路未闻</dc:creator>
  <cp:lastModifiedBy>一路未闻</cp:lastModifiedBy>
  <dcterms:modified xsi:type="dcterms:W3CDTF">2025-07-29T16:43:20Z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A6049F7B218BB87D87898868D262A534_41</vt:lpwstr>
  </property>
</Properties>
</file>