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73339">
      <w:pPr>
        <w:keepNext w:val="0"/>
        <w:keepLines w:val="0"/>
        <w:numPr>
          <w:ilvl w:val="0"/>
          <w:numId w:val="0"/>
        </w:numPr>
        <w:adjustRightInd w:val="0"/>
        <w:snapToGrid w:val="0"/>
        <w:spacing w:after="157" w:afterLines="50" w:line="240" w:lineRule="auto"/>
        <w:jc w:val="left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附件1</w:t>
      </w:r>
    </w:p>
    <w:p w14:paraId="53CD3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contextualSpacing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lang w:val="en-US" w:eastAsia="zh-CN"/>
        </w:rPr>
      </w:pPr>
    </w:p>
    <w:p w14:paraId="6CF27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contextualSpacing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lang w:val="en-US" w:eastAsia="zh-CN"/>
        </w:rPr>
      </w:pPr>
      <w:bookmarkStart w:id="0" w:name="_GoBack"/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lang w:val="en-US" w:eastAsia="zh-CN"/>
        </w:rPr>
        <w:t>理论知识考试技术纲要</w:t>
      </w:r>
      <w:bookmarkEnd w:id="0"/>
    </w:p>
    <w:p w14:paraId="6BB37B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宋体" w:cs="Times New Roman"/>
          <w:sz w:val="44"/>
          <w:szCs w:val="44"/>
          <w:lang w:val="en-US" w:eastAsia="zh-CN"/>
        </w:rPr>
      </w:pPr>
    </w:p>
    <w:p w14:paraId="50D714C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  <w:t>一、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考试内容</w:t>
      </w:r>
    </w:p>
    <w:p w14:paraId="0233A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1" w:firstLineChars="200"/>
        <w:jc w:val="both"/>
        <w:textAlignment w:val="auto"/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（一）试题题型</w:t>
      </w:r>
    </w:p>
    <w:p w14:paraId="47CEEC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640" w:firstLineChars="200"/>
        <w:textAlignment w:val="auto"/>
        <w:rPr>
          <w:rFonts w:hint="default" w:ascii="Times New Roman" w:hAnsi="Times New Roman" w:eastAsia="仿宋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笔试试卷分技术管理和技术实施两类，考试题型包括判断题、单项选题、多项选题、填空题，全面考查参赛者的基础理论知识和理解深度。</w:t>
      </w:r>
    </w:p>
    <w:p w14:paraId="07DBAA82">
      <w:pPr>
        <w:widowControl w:val="0"/>
        <w:jc w:val="center"/>
        <w:rPr>
          <w:rFonts w:hint="default" w:ascii="Times New Roman" w:hAnsi="Times New Roman" w:eastAsia="宋体" w:cs="Times New Roman"/>
          <w:color w:val="auto"/>
          <w:kern w:val="2"/>
          <w:sz w:val="28"/>
          <w:szCs w:val="28"/>
          <w:lang w:val="en-US" w:eastAsia="zh-CN" w:bidi="ar-SA"/>
        </w:rPr>
      </w:pP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t xml:space="preserve">表 </w:t>
      </w: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fldChar w:fldCharType="begin"/>
      </w: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instrText xml:space="preserve"> SEQ 表 \* ARABIC </w:instrText>
      </w: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fldChar w:fldCharType="separate"/>
      </w: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t>1</w:t>
      </w: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fldChar w:fldCharType="end"/>
      </w:r>
      <w:r>
        <w:rPr>
          <w:rFonts w:hint="default"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t xml:space="preserve">  考试题型分布表</w:t>
      </w:r>
    </w:p>
    <w:tbl>
      <w:tblPr>
        <w:tblStyle w:val="6"/>
        <w:tblW w:w="0" w:type="auto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637"/>
        <w:gridCol w:w="1800"/>
        <w:gridCol w:w="1800"/>
      </w:tblGrid>
      <w:tr w14:paraId="6DF8EC9E">
        <w:trPr>
          <w:trHeight w:val="567" w:hRule="atLeast"/>
        </w:trPr>
        <w:tc>
          <w:tcPr>
            <w:tcW w:w="2079" w:type="dxa"/>
            <w:noWrap w:val="0"/>
            <w:vAlign w:val="center"/>
          </w:tcPr>
          <w:p w14:paraId="33E767B6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试题内容</w:t>
            </w:r>
          </w:p>
        </w:tc>
        <w:tc>
          <w:tcPr>
            <w:tcW w:w="2637" w:type="dxa"/>
            <w:noWrap w:val="0"/>
            <w:vAlign w:val="center"/>
          </w:tcPr>
          <w:p w14:paraId="30F13E5A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试题题型</w:t>
            </w:r>
          </w:p>
        </w:tc>
        <w:tc>
          <w:tcPr>
            <w:tcW w:w="1800" w:type="dxa"/>
            <w:noWrap w:val="0"/>
            <w:vAlign w:val="center"/>
          </w:tcPr>
          <w:p w14:paraId="11B00036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数量（个）</w:t>
            </w:r>
          </w:p>
        </w:tc>
        <w:tc>
          <w:tcPr>
            <w:tcW w:w="1800" w:type="dxa"/>
            <w:noWrap w:val="0"/>
            <w:vAlign w:val="center"/>
          </w:tcPr>
          <w:p w14:paraId="5709F337">
            <w:pPr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分值（分）</w:t>
            </w:r>
          </w:p>
        </w:tc>
      </w:tr>
      <w:tr w14:paraId="624C500F">
        <w:trPr>
          <w:trHeight w:val="567" w:hRule="atLeast"/>
        </w:trPr>
        <w:tc>
          <w:tcPr>
            <w:tcW w:w="2079" w:type="dxa"/>
            <w:vMerge w:val="restart"/>
            <w:noWrap w:val="0"/>
            <w:vAlign w:val="center"/>
          </w:tcPr>
          <w:p w14:paraId="08DF1AB7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客观题</w:t>
            </w:r>
          </w:p>
        </w:tc>
        <w:tc>
          <w:tcPr>
            <w:tcW w:w="2637" w:type="dxa"/>
            <w:noWrap w:val="0"/>
            <w:vAlign w:val="center"/>
          </w:tcPr>
          <w:p w14:paraId="30A70F25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判断题</w:t>
            </w:r>
          </w:p>
        </w:tc>
        <w:tc>
          <w:tcPr>
            <w:tcW w:w="1800" w:type="dxa"/>
            <w:noWrap w:val="0"/>
            <w:vAlign w:val="center"/>
          </w:tcPr>
          <w:p w14:paraId="16CAB432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  <w:tc>
          <w:tcPr>
            <w:tcW w:w="1800" w:type="dxa"/>
            <w:noWrap w:val="0"/>
            <w:vAlign w:val="center"/>
          </w:tcPr>
          <w:p w14:paraId="3D61DD27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</w:tr>
      <w:tr w14:paraId="3F99DA8D">
        <w:trPr>
          <w:trHeight w:val="567" w:hRule="atLeast"/>
        </w:trPr>
        <w:tc>
          <w:tcPr>
            <w:tcW w:w="2079" w:type="dxa"/>
            <w:vMerge w:val="continue"/>
            <w:noWrap w:val="0"/>
            <w:vAlign w:val="center"/>
          </w:tcPr>
          <w:p w14:paraId="39367C49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637" w:type="dxa"/>
            <w:noWrap w:val="0"/>
            <w:vAlign w:val="center"/>
          </w:tcPr>
          <w:p w14:paraId="00BF17B1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单项选题</w:t>
            </w:r>
          </w:p>
        </w:tc>
        <w:tc>
          <w:tcPr>
            <w:tcW w:w="1800" w:type="dxa"/>
            <w:noWrap w:val="0"/>
            <w:vAlign w:val="center"/>
          </w:tcPr>
          <w:p w14:paraId="7A7F36FA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20</w:t>
            </w:r>
          </w:p>
        </w:tc>
        <w:tc>
          <w:tcPr>
            <w:tcW w:w="1800" w:type="dxa"/>
            <w:noWrap w:val="0"/>
            <w:vAlign w:val="center"/>
          </w:tcPr>
          <w:p w14:paraId="4799A0B9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30</w:t>
            </w:r>
          </w:p>
        </w:tc>
      </w:tr>
      <w:tr w14:paraId="2133D211">
        <w:trPr>
          <w:trHeight w:val="567" w:hRule="atLeast"/>
        </w:trPr>
        <w:tc>
          <w:tcPr>
            <w:tcW w:w="2079" w:type="dxa"/>
            <w:vMerge w:val="continue"/>
            <w:noWrap w:val="0"/>
            <w:vAlign w:val="center"/>
          </w:tcPr>
          <w:p w14:paraId="38E0CDFC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637" w:type="dxa"/>
            <w:noWrap w:val="0"/>
            <w:vAlign w:val="center"/>
          </w:tcPr>
          <w:p w14:paraId="7B6CD6AE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多项选择题</w:t>
            </w:r>
          </w:p>
        </w:tc>
        <w:tc>
          <w:tcPr>
            <w:tcW w:w="1800" w:type="dxa"/>
            <w:noWrap w:val="0"/>
            <w:vAlign w:val="center"/>
          </w:tcPr>
          <w:p w14:paraId="3144CB71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20</w:t>
            </w:r>
          </w:p>
        </w:tc>
        <w:tc>
          <w:tcPr>
            <w:tcW w:w="1800" w:type="dxa"/>
            <w:noWrap w:val="0"/>
            <w:vAlign w:val="center"/>
          </w:tcPr>
          <w:p w14:paraId="41EF3283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40</w:t>
            </w:r>
          </w:p>
        </w:tc>
      </w:tr>
      <w:tr w14:paraId="3FC55F51">
        <w:trPr>
          <w:trHeight w:val="567" w:hRule="atLeast"/>
        </w:trPr>
        <w:tc>
          <w:tcPr>
            <w:tcW w:w="2079" w:type="dxa"/>
            <w:vMerge w:val="continue"/>
            <w:noWrap w:val="0"/>
            <w:vAlign w:val="center"/>
          </w:tcPr>
          <w:p w14:paraId="087358E8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637" w:type="dxa"/>
            <w:noWrap w:val="0"/>
            <w:vAlign w:val="center"/>
          </w:tcPr>
          <w:p w14:paraId="1F600BB4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填空题</w:t>
            </w:r>
          </w:p>
        </w:tc>
        <w:tc>
          <w:tcPr>
            <w:tcW w:w="1800" w:type="dxa"/>
            <w:noWrap w:val="0"/>
            <w:vAlign w:val="center"/>
          </w:tcPr>
          <w:p w14:paraId="196EC5FD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  <w:tc>
          <w:tcPr>
            <w:tcW w:w="1800" w:type="dxa"/>
            <w:noWrap w:val="0"/>
            <w:vAlign w:val="center"/>
          </w:tcPr>
          <w:p w14:paraId="7EBC3F2C">
            <w:pPr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</w:tr>
    </w:tbl>
    <w:p w14:paraId="5731A3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40" w:lineRule="auto"/>
        <w:ind w:firstLine="641" w:firstLineChars="200"/>
        <w:jc w:val="both"/>
        <w:textAlignment w:val="auto"/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（二）考核内容</w:t>
      </w:r>
    </w:p>
    <w:p w14:paraId="3CBB8F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  <w:t>1.技术管理类</w:t>
      </w:r>
    </w:p>
    <w:p w14:paraId="32A5AB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kern w:val="2"/>
          <w:sz w:val="20"/>
          <w:szCs w:val="24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考核内容和具体配分原则详见表2。</w:t>
      </w:r>
    </w:p>
    <w:p w14:paraId="30C4B271">
      <w:pPr>
        <w:widowControl w:val="0"/>
        <w:jc w:val="center"/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</w:pPr>
    </w:p>
    <w:p w14:paraId="1F55C656">
      <w:pPr>
        <w:widowControl w:val="0"/>
        <w:jc w:val="center"/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</w:pPr>
    </w:p>
    <w:p w14:paraId="42C8FBE2">
      <w:pPr>
        <w:widowControl w:val="0"/>
        <w:jc w:val="center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t xml:space="preserve">表 </w:t>
      </w:r>
      <w:r>
        <w:rPr>
          <w:rFonts w:hint="default"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t>2  考核内容及配分表</w:t>
      </w:r>
    </w:p>
    <w:tbl>
      <w:tblPr>
        <w:tblStyle w:val="5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4177"/>
      </w:tblGrid>
      <w:tr w14:paraId="612B361B">
        <w:trPr>
          <w:trHeight w:val="567" w:hRule="atLeast"/>
        </w:trPr>
        <w:tc>
          <w:tcPr>
            <w:tcW w:w="2172" w:type="dxa"/>
            <w:noWrap w:val="0"/>
            <w:vAlign w:val="center"/>
          </w:tcPr>
          <w:p w14:paraId="537D02A5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考试项目</w:t>
            </w:r>
          </w:p>
        </w:tc>
        <w:tc>
          <w:tcPr>
            <w:tcW w:w="4177" w:type="dxa"/>
            <w:noWrap w:val="0"/>
            <w:vAlign w:val="center"/>
          </w:tcPr>
          <w:p w14:paraId="43CC0AE1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考试内容</w:t>
            </w:r>
          </w:p>
        </w:tc>
      </w:tr>
      <w:tr w14:paraId="10870065">
        <w:trPr>
          <w:trHeight w:val="567" w:hRule="atLeast"/>
        </w:trPr>
        <w:tc>
          <w:tcPr>
            <w:tcW w:w="2172" w:type="dxa"/>
            <w:vMerge w:val="restart"/>
            <w:noWrap w:val="0"/>
            <w:vAlign w:val="center"/>
          </w:tcPr>
          <w:p w14:paraId="34E1AEA8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公共基础知识</w:t>
            </w:r>
          </w:p>
          <w:p w14:paraId="6AA3CB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firstLine="280" w:firstLineChars="10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（40分）</w:t>
            </w:r>
          </w:p>
        </w:tc>
        <w:tc>
          <w:tcPr>
            <w:tcW w:w="4177" w:type="dxa"/>
            <w:noWrap w:val="0"/>
            <w:vAlign w:val="center"/>
          </w:tcPr>
          <w:p w14:paraId="2B27F980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政治理论知识</w:t>
            </w:r>
          </w:p>
        </w:tc>
      </w:tr>
      <w:tr w14:paraId="40C4F195">
        <w:trPr>
          <w:trHeight w:val="567" w:hRule="atLeast"/>
        </w:trPr>
        <w:tc>
          <w:tcPr>
            <w:tcW w:w="2172" w:type="dxa"/>
            <w:vMerge w:val="continue"/>
            <w:noWrap w:val="0"/>
            <w:vAlign w:val="center"/>
          </w:tcPr>
          <w:p w14:paraId="01AB1F3C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177" w:type="dxa"/>
            <w:noWrap w:val="0"/>
            <w:vAlign w:val="center"/>
          </w:tcPr>
          <w:p w14:paraId="03A7BA9F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安全保密知识</w:t>
            </w:r>
          </w:p>
        </w:tc>
      </w:tr>
      <w:tr w14:paraId="4ED7D021">
        <w:trPr>
          <w:trHeight w:val="567" w:hRule="atLeast"/>
        </w:trPr>
        <w:tc>
          <w:tcPr>
            <w:tcW w:w="2172" w:type="dxa"/>
            <w:vMerge w:val="continue"/>
            <w:noWrap w:val="0"/>
            <w:vAlign w:val="center"/>
          </w:tcPr>
          <w:p w14:paraId="43DCF849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177" w:type="dxa"/>
            <w:noWrap w:val="0"/>
            <w:vAlign w:val="center"/>
          </w:tcPr>
          <w:p w14:paraId="0EDB7BA9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自然资源法律法规知识</w:t>
            </w:r>
          </w:p>
        </w:tc>
      </w:tr>
      <w:tr w14:paraId="7A8AF98B">
        <w:trPr>
          <w:trHeight w:val="567" w:hRule="atLeast"/>
        </w:trPr>
        <w:tc>
          <w:tcPr>
            <w:tcW w:w="2172" w:type="dxa"/>
            <w:vMerge w:val="restart"/>
            <w:noWrap w:val="0"/>
            <w:vAlign w:val="center"/>
          </w:tcPr>
          <w:p w14:paraId="49F51982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专业知识</w:t>
            </w:r>
          </w:p>
          <w:p w14:paraId="5D1CEEC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firstLine="280" w:firstLineChars="10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（60分）</w:t>
            </w:r>
          </w:p>
        </w:tc>
        <w:tc>
          <w:tcPr>
            <w:tcW w:w="4177" w:type="dxa"/>
            <w:noWrap w:val="0"/>
            <w:vAlign w:val="center"/>
          </w:tcPr>
          <w:p w14:paraId="66315301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自然资源调查相关内容</w:t>
            </w:r>
          </w:p>
        </w:tc>
      </w:tr>
      <w:tr w14:paraId="1C2FB4B6">
        <w:trPr>
          <w:trHeight w:val="567" w:hRule="atLeast"/>
        </w:trPr>
        <w:tc>
          <w:tcPr>
            <w:tcW w:w="2172" w:type="dxa"/>
            <w:vMerge w:val="continue"/>
            <w:noWrap w:val="0"/>
            <w:vAlign w:val="center"/>
          </w:tcPr>
          <w:p w14:paraId="679A3AC1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177" w:type="dxa"/>
            <w:noWrap w:val="0"/>
            <w:vAlign w:val="center"/>
          </w:tcPr>
          <w:p w14:paraId="62C723BD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自然资源监测相关内容</w:t>
            </w:r>
          </w:p>
        </w:tc>
      </w:tr>
      <w:tr w14:paraId="5506C15D">
        <w:trPr>
          <w:trHeight w:val="567" w:hRule="atLeast"/>
        </w:trPr>
        <w:tc>
          <w:tcPr>
            <w:tcW w:w="2172" w:type="dxa"/>
            <w:vMerge w:val="continue"/>
            <w:noWrap w:val="0"/>
            <w:vAlign w:val="center"/>
          </w:tcPr>
          <w:p w14:paraId="45EE30AE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177" w:type="dxa"/>
            <w:noWrap w:val="0"/>
            <w:vAlign w:val="center"/>
          </w:tcPr>
          <w:p w14:paraId="4959BA08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tLeas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成果及应用相关内容</w:t>
            </w:r>
          </w:p>
        </w:tc>
      </w:tr>
    </w:tbl>
    <w:p w14:paraId="61D4C29C">
      <w:pP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035036AF">
      <w:pPr>
        <w:widowControl w:val="0"/>
        <w:spacing w:line="600" w:lineRule="exact"/>
        <w:ind w:firstLine="643" w:firstLineChars="20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380E8E95">
      <w:pPr>
        <w:widowControl w:val="0"/>
        <w:spacing w:line="600" w:lineRule="exact"/>
        <w:ind w:firstLine="643" w:firstLineChars="20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04669C98">
      <w:pPr>
        <w:widowControl w:val="0"/>
        <w:spacing w:line="600" w:lineRule="exact"/>
        <w:ind w:firstLine="643" w:firstLineChars="20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17DB19F2">
      <w:pPr>
        <w:widowControl w:val="0"/>
        <w:spacing w:line="600" w:lineRule="exact"/>
        <w:ind w:firstLine="643" w:firstLineChars="20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238DA706">
      <w:pPr>
        <w:widowControl w:val="0"/>
        <w:spacing w:line="600" w:lineRule="exact"/>
        <w:ind w:firstLine="643" w:firstLineChars="20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7905506C">
      <w:pPr>
        <w:widowControl w:val="0"/>
        <w:spacing w:line="600" w:lineRule="exact"/>
        <w:ind w:firstLine="643" w:firstLineChars="20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67527513">
      <w:pPr>
        <w:widowControl w:val="0"/>
        <w:spacing w:line="600" w:lineRule="exact"/>
        <w:ind w:firstLine="0" w:firstLineChars="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2AE19876">
      <w:pPr>
        <w:widowControl w:val="0"/>
        <w:spacing w:line="600" w:lineRule="exact"/>
        <w:ind w:firstLine="643" w:firstLineChars="200"/>
        <w:jc w:val="both"/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kern w:val="2"/>
          <w:sz w:val="32"/>
          <w:szCs w:val="32"/>
          <w:lang w:val="en-US" w:eastAsia="zh-CN" w:bidi="ar-SA"/>
        </w:rPr>
        <w:t>2.技术实施类</w:t>
      </w:r>
    </w:p>
    <w:p w14:paraId="2ED139B2">
      <w:pPr>
        <w:widowControl w:val="0"/>
        <w:spacing w:line="600" w:lineRule="exact"/>
        <w:ind w:firstLine="640" w:firstLineChars="200"/>
        <w:jc w:val="both"/>
        <w:rPr>
          <w:rFonts w:hint="default" w:ascii="Times New Roman" w:hAnsi="Times New Roman" w:eastAsia="黑体" w:cs="Times New Roman"/>
          <w:kern w:val="2"/>
          <w:sz w:val="20"/>
          <w:szCs w:val="24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考核内容和具体配分原则详见表3。</w:t>
      </w:r>
    </w:p>
    <w:p w14:paraId="587852D8">
      <w:pPr>
        <w:widowControl w:val="0"/>
        <w:spacing w:line="600" w:lineRule="exact"/>
        <w:jc w:val="center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t xml:space="preserve">表 </w:t>
      </w:r>
      <w:r>
        <w:rPr>
          <w:rFonts w:hint="default" w:ascii="Times New Roman" w:hAnsi="Times New Roman" w:eastAsia="黑体" w:cs="Times New Roman"/>
          <w:color w:val="auto"/>
          <w:kern w:val="2"/>
          <w:sz w:val="28"/>
          <w:szCs w:val="28"/>
          <w:lang w:val="en-US" w:eastAsia="zh-CN" w:bidi="ar-SA"/>
        </w:rPr>
        <w:t>3  考核内容及配分表</w:t>
      </w:r>
    </w:p>
    <w:tbl>
      <w:tblPr>
        <w:tblStyle w:val="5"/>
        <w:tblpPr w:leftFromText="180" w:rightFromText="180" w:vertAnchor="text" w:tblpXSpec="center" w:tblpY="1"/>
        <w:tblOverlap w:val="never"/>
        <w:tblW w:w="0" w:type="auto"/>
        <w:tblInd w:w="-3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7"/>
        <w:gridCol w:w="4292"/>
      </w:tblGrid>
      <w:tr w14:paraId="38FEF736">
        <w:trPr>
          <w:trHeight w:val="567" w:hRule="atLeast"/>
        </w:trPr>
        <w:tc>
          <w:tcPr>
            <w:tcW w:w="2487" w:type="dxa"/>
            <w:noWrap w:val="0"/>
            <w:vAlign w:val="center"/>
          </w:tcPr>
          <w:p w14:paraId="570462D0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考试项目</w:t>
            </w:r>
          </w:p>
        </w:tc>
        <w:tc>
          <w:tcPr>
            <w:tcW w:w="4292" w:type="dxa"/>
            <w:noWrap w:val="0"/>
            <w:vAlign w:val="center"/>
          </w:tcPr>
          <w:p w14:paraId="6FE5D60D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  <w:t>考试内容</w:t>
            </w:r>
          </w:p>
        </w:tc>
      </w:tr>
      <w:tr w14:paraId="0F12F016">
        <w:trPr>
          <w:trHeight w:val="610" w:hRule="atLeast"/>
        </w:trPr>
        <w:tc>
          <w:tcPr>
            <w:tcW w:w="2487" w:type="dxa"/>
            <w:vMerge w:val="restart"/>
            <w:noWrap w:val="0"/>
            <w:vAlign w:val="center"/>
          </w:tcPr>
          <w:p w14:paraId="52CB4D13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公共基础知识</w:t>
            </w:r>
          </w:p>
          <w:p w14:paraId="755882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280" w:firstLineChars="10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（20分）</w:t>
            </w:r>
          </w:p>
        </w:tc>
        <w:tc>
          <w:tcPr>
            <w:tcW w:w="4292" w:type="dxa"/>
            <w:noWrap w:val="0"/>
            <w:vAlign w:val="center"/>
          </w:tcPr>
          <w:p w14:paraId="4F049E04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安全保密知识</w:t>
            </w:r>
          </w:p>
        </w:tc>
      </w:tr>
      <w:tr w14:paraId="086CA4F2">
        <w:trPr>
          <w:trHeight w:val="567" w:hRule="atLeast"/>
        </w:trPr>
        <w:tc>
          <w:tcPr>
            <w:tcW w:w="2487" w:type="dxa"/>
            <w:vMerge w:val="continue"/>
            <w:noWrap w:val="0"/>
            <w:vAlign w:val="center"/>
          </w:tcPr>
          <w:p w14:paraId="1BE71E36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292" w:type="dxa"/>
            <w:noWrap w:val="0"/>
            <w:vAlign w:val="center"/>
          </w:tcPr>
          <w:p w14:paraId="5F88806B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自然资源法律法规知识</w:t>
            </w:r>
          </w:p>
        </w:tc>
      </w:tr>
      <w:tr w14:paraId="637FFC16">
        <w:trPr>
          <w:trHeight w:val="567" w:hRule="atLeast"/>
        </w:trPr>
        <w:tc>
          <w:tcPr>
            <w:tcW w:w="2487" w:type="dxa"/>
            <w:vMerge w:val="restart"/>
            <w:noWrap w:val="0"/>
            <w:vAlign w:val="center"/>
          </w:tcPr>
          <w:p w14:paraId="6A195AFC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专业知识</w:t>
            </w:r>
          </w:p>
          <w:p w14:paraId="6612407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firstLine="280" w:firstLineChars="10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（80分）</w:t>
            </w:r>
          </w:p>
        </w:tc>
        <w:tc>
          <w:tcPr>
            <w:tcW w:w="4292" w:type="dxa"/>
            <w:noWrap w:val="0"/>
            <w:vAlign w:val="center"/>
          </w:tcPr>
          <w:p w14:paraId="4216BF94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自然资源调查相关内容</w:t>
            </w:r>
          </w:p>
        </w:tc>
      </w:tr>
      <w:tr w14:paraId="708167E9">
        <w:trPr>
          <w:trHeight w:val="567" w:hRule="atLeast"/>
        </w:trPr>
        <w:tc>
          <w:tcPr>
            <w:tcW w:w="2487" w:type="dxa"/>
            <w:vMerge w:val="continue"/>
            <w:noWrap w:val="0"/>
            <w:vAlign w:val="center"/>
          </w:tcPr>
          <w:p w14:paraId="533A377B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292" w:type="dxa"/>
            <w:noWrap w:val="0"/>
            <w:vAlign w:val="center"/>
          </w:tcPr>
          <w:p w14:paraId="4BA47792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自然资源监测相关内容</w:t>
            </w:r>
          </w:p>
        </w:tc>
      </w:tr>
      <w:tr w14:paraId="32C545FC">
        <w:trPr>
          <w:trHeight w:val="567" w:hRule="atLeast"/>
        </w:trPr>
        <w:tc>
          <w:tcPr>
            <w:tcW w:w="2487" w:type="dxa"/>
            <w:vMerge w:val="continue"/>
            <w:noWrap w:val="0"/>
            <w:vAlign w:val="center"/>
          </w:tcPr>
          <w:p w14:paraId="33DA9029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292" w:type="dxa"/>
            <w:noWrap w:val="0"/>
            <w:vAlign w:val="center"/>
          </w:tcPr>
          <w:p w14:paraId="4D49DF1B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highlight w:val="none"/>
                <w:lang w:val="en-US" w:eastAsia="zh-CN" w:bidi="ar-SA"/>
              </w:rPr>
              <w:t>数据库建设相关内容</w:t>
            </w:r>
          </w:p>
        </w:tc>
      </w:tr>
      <w:tr w14:paraId="48638E89">
        <w:trPr>
          <w:trHeight w:val="567" w:hRule="atLeast"/>
        </w:trPr>
        <w:tc>
          <w:tcPr>
            <w:tcW w:w="2487" w:type="dxa"/>
            <w:vMerge w:val="continue"/>
            <w:noWrap w:val="0"/>
            <w:vAlign w:val="center"/>
          </w:tcPr>
          <w:p w14:paraId="0CAB18A4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292" w:type="dxa"/>
            <w:noWrap w:val="0"/>
            <w:vAlign w:val="center"/>
          </w:tcPr>
          <w:p w14:paraId="139EE4C6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分析评价相关内容</w:t>
            </w:r>
          </w:p>
        </w:tc>
      </w:tr>
      <w:tr w14:paraId="3244C685">
        <w:trPr>
          <w:trHeight w:val="567" w:hRule="atLeast"/>
        </w:trPr>
        <w:tc>
          <w:tcPr>
            <w:tcW w:w="2487" w:type="dxa"/>
            <w:vMerge w:val="continue"/>
            <w:noWrap w:val="0"/>
            <w:vAlign w:val="center"/>
          </w:tcPr>
          <w:p w14:paraId="0B6A5ED1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4292" w:type="dxa"/>
            <w:noWrap w:val="0"/>
            <w:vAlign w:val="center"/>
          </w:tcPr>
          <w:p w14:paraId="7981E76C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600" w:lineRule="exact"/>
              <w:jc w:val="center"/>
              <w:textAlignment w:val="auto"/>
              <w:outlineLvl w:val="0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2"/>
                <w:sz w:val="28"/>
                <w:szCs w:val="28"/>
                <w:lang w:val="en-US" w:eastAsia="zh-CN" w:bidi="ar-SA"/>
              </w:rPr>
              <w:t>成果及应用相关内容</w:t>
            </w:r>
          </w:p>
        </w:tc>
      </w:tr>
    </w:tbl>
    <w:p w14:paraId="6FD710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45DA08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2DD621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57E13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7C893E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7B7CCF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484B6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  <w:t>二、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考试形式和要求</w:t>
      </w:r>
    </w:p>
    <w:p w14:paraId="60CD0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笔试闭卷考试，考试时间为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90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分钟，满分100分</w:t>
      </w:r>
      <w:r>
        <w:rPr>
          <w:rFonts w:hint="eastAsia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3DB21D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  <w:t>三</w:t>
      </w: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highlight w:val="none"/>
          <w:lang w:val="en-US" w:eastAsia="zh-CN" w:bidi="ar-SA"/>
        </w:rPr>
        <w:t>、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  <w:t>考试知识范围</w:t>
      </w:r>
    </w:p>
    <w:p w14:paraId="3A2787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Times New Roman" w:hAnsi="Times New Roman" w:eastAsia="仿宋_GB2312" w:cs="仿宋_GB2312"/>
          <w:b w:val="0"/>
          <w:bCs w:val="0"/>
          <w:color w:val="000000"/>
          <w:sz w:val="32"/>
          <w:szCs w:val="32"/>
        </w:rPr>
        <w:t>《习近平关于自然资源工作论述摘编》</w:t>
      </w:r>
      <w:r>
        <w:rPr>
          <w:rFonts w:hint="eastAsia" w:ascii="Times New Roman" w:hAnsi="Times New Roman" w:eastAsia="仿宋_GB2312" w:cs="仿宋_GB2312"/>
          <w:b w:val="0"/>
          <w:bCs w:val="0"/>
          <w:color w:val="000000"/>
          <w:sz w:val="32"/>
          <w:szCs w:val="32"/>
          <w:lang w:eastAsia="zh-CN"/>
        </w:rPr>
        <w:t>；</w:t>
      </w:r>
    </w:p>
    <w:p w14:paraId="0B3B21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2.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《安全生产法》《保守国家秘密法》《保守国家秘密法实施条例》等安全保密知识；</w:t>
      </w:r>
    </w:p>
    <w:p w14:paraId="10DDDE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3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.《土地管理法》《土地管理法实施条例》《土地调查条例》《土地调查条例实施办法》等相关法律法规；</w:t>
      </w:r>
    </w:p>
    <w:p w14:paraId="66CBDF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4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.自然资源调查监测体系构建相关知识；</w:t>
      </w:r>
    </w:p>
    <w:p w14:paraId="7D1C98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5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2024年度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国土变更调查实施方案、技术规程、数据库建设要求、系列解答等技术要求；</w:t>
      </w:r>
    </w:p>
    <w:p w14:paraId="74426D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6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日常变更等相关要点；</w:t>
      </w:r>
    </w:p>
    <w:p w14:paraId="4CD019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7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2025年度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自然资源监测、城市国土空间监测等技术要求和规程；</w:t>
      </w:r>
    </w:p>
    <w:p w14:paraId="6EC679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8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.林草湿调查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普查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等专项调查监测等技术要求和规程；</w:t>
      </w:r>
    </w:p>
    <w:p w14:paraId="5A4C8685">
      <w:pPr>
        <w:widowControl w:val="0"/>
        <w:autoSpaceDE/>
        <w:autoSpaceDN/>
        <w:adjustRightInd w:val="0"/>
        <w:spacing w:line="600" w:lineRule="exact"/>
        <w:ind w:firstLine="640" w:firstLineChars="200"/>
        <w:rPr>
          <w:rFonts w:hint="default" w:ascii="Times New Roman" w:hAnsi="Times New Roman" w:eastAsia="仿宋_GB2312" w:cs="Times New Roman"/>
          <w:color w:val="00000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9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" w:bidi="ar-SA"/>
        </w:rPr>
        <w:t>.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一张图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统筹耕林园草空间治理试点等相关内容；</w:t>
      </w:r>
    </w:p>
    <w:p w14:paraId="368836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10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.自然资源调查监测数据分析评价等相关内容；</w:t>
      </w:r>
    </w:p>
    <w:p w14:paraId="07AA10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1</w:t>
      </w: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.其他自然资源调查监测内容和业务知识。</w:t>
      </w:r>
    </w:p>
    <w:p w14:paraId="4CE2FB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  <w:lang w:val="en-US" w:eastAsia="zh-CN" w:bidi="ar-SA"/>
        </w:rPr>
        <w:t>四、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</w:rPr>
        <w:t>评分细则</w:t>
      </w:r>
    </w:p>
    <w:p w14:paraId="7B3252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裁判组实行总裁判长负责制，总裁判长全面负责竞赛全过程的执裁工作。理论知识考试由分裁判长负责理论知识考试全过程的监考工作，裁判员负责检录参赛选手的有关证件，负责竞赛考核任务下发、现场制裁和秩序维持、竞赛成绩测评及成果汇总等工作。</w:t>
      </w:r>
    </w:p>
    <w:p w14:paraId="2FB260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理论考试结束后，参赛选手应立即离开座位并离场。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考试成绩将由计算机自动计算</w:t>
      </w:r>
      <w:r>
        <w:rPr>
          <w:rFonts w:hint="eastAsia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。</w:t>
      </w:r>
    </w:p>
    <w:p w14:paraId="77DE0842">
      <w:pPr>
        <w:overflowPunct/>
        <w:adjustRightInd/>
        <w:snapToGrid/>
        <w:spacing w:line="600" w:lineRule="exact"/>
        <w:ind w:firstLine="640" w:firstLineChars="200"/>
        <w:rPr>
          <w:rFonts w:hint="eastAsia" w:ascii="Times New Roman" w:hAnsi="Times New Roman" w:eastAsia="仿宋_GB2312" w:cs="Times New Roman"/>
          <w:b w:val="0"/>
          <w:bCs w:val="0"/>
          <w:color w:val="auto"/>
          <w:sz w:val="32"/>
          <w:szCs w:val="32"/>
          <w:highlight w:val="none"/>
          <w:lang w:eastAsia="zh-CN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  <w:lang w:val="en-US" w:eastAsia="zh-CN"/>
        </w:rPr>
        <w:t>五、得分计算</w:t>
      </w:r>
    </w:p>
    <w:p w14:paraId="4A852048">
      <w:pPr>
        <w:spacing w:beforeAutospacing="0" w:afterAutospacing="0" w:line="580" w:lineRule="exact"/>
        <w:ind w:firstLine="640" w:firstLineChars="200"/>
        <w:rPr>
          <w:rFonts w:hint="default" w:ascii="Times New Roman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个人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理论知识考试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成绩按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</w:rPr>
        <w:t>0%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算入个人竞赛总成绩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eastAsia="zh-CN"/>
        </w:rPr>
        <w:t>。</w:t>
      </w:r>
    </w:p>
    <w:p w14:paraId="2FFFC448">
      <w:pPr>
        <w:spacing w:line="600" w:lineRule="exact"/>
        <w:rPr>
          <w:rFonts w:hint="default" w:ascii="Times New Roman" w:hAnsi="Times New Roman" w:eastAsia="宋体" w:cs="Times New Roman"/>
          <w:lang w:val="en-US" w:eastAsia="zh-CN"/>
        </w:rPr>
      </w:pPr>
    </w:p>
    <w:p w14:paraId="410B01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0000000000000000000"/>
    <w:charset w:val="86"/>
    <w:family w:val="auto"/>
    <w:pitch w:val="default"/>
    <w:sig w:usb0="800002BF" w:usb1="38CF7CF8" w:usb2="00000016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EF1F7F"/>
    <w:rsid w:val="EBE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next w:val="3"/>
    <w:qFormat/>
    <w:uiPriority w:val="0"/>
    <w:pPr>
      <w:autoSpaceDE w:val="0"/>
      <w:autoSpaceDN w:val="0"/>
      <w:spacing w:after="0" w:line="500" w:lineRule="exact"/>
      <w:ind w:left="106" w:firstLine="420"/>
      <w:jc w:val="left"/>
    </w:pPr>
    <w:rPr>
      <w:rFonts w:ascii="仿宋_GB2312" w:hAnsi="仿宋_GB2312" w:eastAsia="仿宋_GB2312" w:cs="仿宋_GB2312"/>
      <w:kern w:val="0"/>
      <w:sz w:val="32"/>
      <w:szCs w:val="28"/>
      <w:lang w:val="zh-CN" w:bidi="zh-CN"/>
    </w:rPr>
  </w:style>
  <w:style w:type="paragraph" w:styleId="3">
    <w:name w:val="Body Text"/>
    <w:basedOn w:val="1"/>
    <w:next w:val="4"/>
    <w:qFormat/>
    <w:uiPriority w:val="99"/>
    <w:pPr>
      <w:spacing w:after="120"/>
    </w:pPr>
    <w:rPr>
      <w:rFonts w:ascii="Times New Roman" w:hAnsi="Times New Roman" w:eastAsia="宋体" w:cs="Times New Roman"/>
    </w:rPr>
  </w:style>
  <w:style w:type="paragraph" w:styleId="4">
    <w:name w:val="toc 5"/>
    <w:basedOn w:val="1"/>
    <w:next w:val="1"/>
    <w:qFormat/>
    <w:uiPriority w:val="0"/>
    <w:pPr>
      <w:ind w:left="1680" w:leftChars="800"/>
    </w:p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2025-07-29T16:42:00Z</dcterms:created>
  <dc:creator>一路未闻</dc:creator>
  <cp:lastModifiedBy>一路未闻</cp:lastModifiedBy>
  <dcterms:modified xsi:type="dcterms:W3CDTF">2025-07-29T16:42:43Z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22AED106B8F88B285A898868AE02E22B_41</vt:lpwstr>
  </property>
</Properties>
</file>