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82951"/>
          <w:sz w:val="38"/>
          <w:szCs w:val="38"/>
        </w:rPr>
      </w:pPr>
      <w:r w:rsidDel="00000000" w:rsidR="00000000" w:rsidRPr="00000000">
        <w:rPr>
          <w:b w:val="1"/>
          <w:bCs w:val="1"/>
          <w:color w:val="182951"/>
          <w:sz w:val="38"/>
          <w:szCs w:val="38"/>
          <w:rtl w:val="0"/>
        </w:rPr>
        <w:t xml:space="preserve">LLAMADO DE ATENCIÓN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color w:val="343434"/>
          <w:sz w:val="31"/>
          <w:szCs w:val="31"/>
        </w:rPr>
      </w:pPr>
      <w:r w:rsidDel="00000000" w:rsidR="00000000" w:rsidRPr="00000000">
        <w:rPr>
          <w:i w:val="1"/>
          <w:iCs w:val="1"/>
          <w:color w:val="343434"/>
          <w:sz w:val="31"/>
          <w:szCs w:val="31"/>
          <w:rtl w:val="0"/>
        </w:rPr>
        <w:t xml:space="preserve">Notificación Formal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color w:val="343434"/>
          <w:sz w:val="31"/>
          <w:szCs w:val="3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645"/>
        <w:tblGridChange w:id="0">
          <w:tblGrid>
            <w:gridCol w:w="2835"/>
            <w:gridCol w:w="66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Nombre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434343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DNI / Cédula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434343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Puesto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434343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Área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434343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Fecha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434343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shd w:fill="efefe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Responsable</w:t>
            </w:r>
          </w:p>
        </w:tc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434343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Descripción / Motivo</w:t>
      </w:r>
    </w:p>
    <w:tbl>
      <w:tblPr>
        <w:tblStyle w:val="Table2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c1c1c1" w:space="0" w:sz="6" w:val="single"/>
              <w:left w:color="c1c1c1" w:space="0" w:sz="6" w:val="single"/>
              <w:bottom w:color="c1c1c1" w:space="0" w:sz="6" w:val="single"/>
              <w:right w:color="c1c1c1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lineRule="auto"/>
              <w:rPr>
                <w:color w:val="434343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9"/>
                <w:szCs w:val="2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sz w:val="29"/>
                <w:szCs w:val="2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i w:val="1"/>
          <w:iCs w:val="1"/>
          <w:color w:val="757575"/>
          <w:sz w:val="26"/>
          <w:szCs w:val="26"/>
          <w:rtl w:val="0"/>
        </w:rPr>
        <w:t xml:space="preserve">Este documento tiene carácter formal. La firma del colaborador no implica conformidad, sino recepción de la notificación.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ab/>
        <w:tab/>
        <w:tab/>
        <w:tab/>
        <w:tab/>
        <w:tab/>
        <w:t xml:space="preserve">Firma del 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color w:val="75757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